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9A82A" w14:textId="262B791E" w:rsidR="00A51954" w:rsidRPr="00DB1923" w:rsidRDefault="00915EFC" w:rsidP="00A51954">
      <w:pPr>
        <w:pStyle w:val="Heading1"/>
      </w:pPr>
      <w:bookmarkStart w:id="0" w:name="_Hlk149750772"/>
      <w:r>
        <w:t>Primary</w:t>
      </w:r>
      <w:r>
        <w:rPr>
          <w:spacing w:val="-9"/>
        </w:rPr>
        <w:t xml:space="preserve"> </w:t>
      </w:r>
      <w:r>
        <w:t>care</w:t>
      </w:r>
      <w:r>
        <w:rPr>
          <w:spacing w:val="-6"/>
        </w:rPr>
        <w:t xml:space="preserve"> </w:t>
      </w:r>
      <w:r>
        <w:t>prescribing</w:t>
      </w:r>
      <w:r>
        <w:rPr>
          <w:spacing w:val="-5"/>
        </w:rPr>
        <w:t xml:space="preserve"> </w:t>
      </w:r>
      <w:r>
        <w:t>for</w:t>
      </w:r>
      <w:r>
        <w:rPr>
          <w:spacing w:val="-4"/>
        </w:rPr>
        <w:t xml:space="preserve"> </w:t>
      </w:r>
      <w:r>
        <w:t>people</w:t>
      </w:r>
      <w:r>
        <w:rPr>
          <w:spacing w:val="-5"/>
        </w:rPr>
        <w:t xml:space="preserve"> </w:t>
      </w:r>
      <w:r>
        <w:t>who</w:t>
      </w:r>
      <w:r>
        <w:rPr>
          <w:spacing w:val="-5"/>
        </w:rPr>
        <w:t xml:space="preserve"> </w:t>
      </w:r>
      <w:r>
        <w:t>access</w:t>
      </w:r>
      <w:r>
        <w:rPr>
          <w:spacing w:val="-4"/>
        </w:rPr>
        <w:t xml:space="preserve"> </w:t>
      </w:r>
      <w:r>
        <w:t>Gender</w:t>
      </w:r>
      <w:r>
        <w:rPr>
          <w:spacing w:val="-5"/>
        </w:rPr>
        <w:t xml:space="preserve"> </w:t>
      </w:r>
      <w:r>
        <w:t>Identity</w:t>
      </w:r>
      <w:r>
        <w:rPr>
          <w:spacing w:val="-5"/>
        </w:rPr>
        <w:t xml:space="preserve"> </w:t>
      </w:r>
      <w:r>
        <w:t>Services</w:t>
      </w:r>
      <w:r>
        <w:rPr>
          <w:spacing w:val="-3"/>
        </w:rPr>
        <w:t xml:space="preserve"> </w:t>
      </w:r>
      <w:r>
        <w:rPr>
          <w:spacing w:val="-2"/>
        </w:rPr>
        <w:t>(GIS)</w:t>
      </w:r>
      <w:bookmarkEnd w:id="0"/>
    </w:p>
    <w:p w14:paraId="41AB87D4" w14:textId="40F5CDE0" w:rsidR="00603B99" w:rsidRDefault="00915EFC" w:rsidP="00A51954">
      <w:r>
        <w:t>NHS England is the direct commissioner of specialised gender identity services for individuals with a diagnosis</w:t>
      </w:r>
      <w:r>
        <w:rPr>
          <w:spacing w:val="-1"/>
        </w:rPr>
        <w:t xml:space="preserve"> </w:t>
      </w:r>
      <w:r>
        <w:t>of</w:t>
      </w:r>
      <w:r>
        <w:rPr>
          <w:spacing w:val="-4"/>
        </w:rPr>
        <w:t xml:space="preserve"> </w:t>
      </w:r>
      <w:r>
        <w:t>gender</w:t>
      </w:r>
      <w:r>
        <w:rPr>
          <w:spacing w:val="-1"/>
        </w:rPr>
        <w:t xml:space="preserve"> </w:t>
      </w:r>
      <w:r>
        <w:t>dysphoria</w:t>
      </w:r>
      <w:r w:rsidR="00331E53" w:rsidRPr="00331E53">
        <w:rPr>
          <w:vertAlign w:val="superscript"/>
        </w:rPr>
        <w:t>1</w:t>
      </w:r>
      <w:r w:rsidR="00603B99">
        <w:rPr>
          <w:vertAlign w:val="superscript"/>
        </w:rPr>
        <w:t>,2</w:t>
      </w:r>
      <w:r w:rsidR="00603B99">
        <w:t xml:space="preserve">, however </w:t>
      </w:r>
      <w:r w:rsidR="000474E9">
        <w:t xml:space="preserve">a </w:t>
      </w:r>
      <w:r>
        <w:t xml:space="preserve">consistent theme amongst primary care professionals </w:t>
      </w:r>
      <w:r w:rsidR="00603B99">
        <w:t>is</w:t>
      </w:r>
      <w:r>
        <w:t xml:space="preserve"> that current arrangements are not optimal</w:t>
      </w:r>
      <w:r w:rsidR="00603B99">
        <w:t xml:space="preserve"> for patients or prescribers.</w:t>
      </w:r>
      <w:r w:rsidR="000474E9">
        <w:t xml:space="preserve">  This has led to publication of guidance from professional bodies to support prescribers, for example:</w:t>
      </w:r>
    </w:p>
    <w:p w14:paraId="148BEE21" w14:textId="38A5CD2D" w:rsidR="000474E9" w:rsidRPr="000474E9" w:rsidRDefault="000474E9" w:rsidP="000474E9">
      <w:pPr>
        <w:pStyle w:val="ListParagraph"/>
        <w:numPr>
          <w:ilvl w:val="0"/>
          <w:numId w:val="10"/>
        </w:numPr>
      </w:pPr>
      <w:r w:rsidRPr="00915EFC">
        <w:rPr>
          <w:lang w:val="en-US"/>
        </w:rPr>
        <w:t>British Medical Association guidance for GPs “Managing patients with gender dysphoria”</w:t>
      </w:r>
      <w:r w:rsidRPr="00603B99">
        <w:rPr>
          <w:vertAlign w:val="superscript"/>
          <w:lang w:val="en-US"/>
        </w:rPr>
        <w:t>3</w:t>
      </w:r>
    </w:p>
    <w:bookmarkStart w:id="1" w:name="_Hlk165727750"/>
    <w:p w14:paraId="2F630EF2" w14:textId="2B4F0A3A" w:rsidR="000474E9" w:rsidRPr="000474E9" w:rsidRDefault="000474E9" w:rsidP="000474E9">
      <w:pPr>
        <w:pStyle w:val="ListParagraph"/>
        <w:numPr>
          <w:ilvl w:val="0"/>
          <w:numId w:val="10"/>
        </w:numPr>
      </w:pPr>
      <w:r w:rsidRPr="000474E9">
        <w:fldChar w:fldCharType="begin"/>
      </w:r>
      <w:r w:rsidRPr="000474E9">
        <w:instrText xml:space="preserve"> LINK Word.Document.12 "S:\\Medicines Management\\Clinical Resources\\BNF Chapters\\Chapter 6 Endocrine System\\6.8 Sex hormone responsive conditions\\Gender identity\\20230706_Primary care prescribing for people who accessed gender identity servicess_ v001 DRAFT.docx" "OLE_LINK1" \a \r </w:instrText>
      </w:r>
      <w:r>
        <w:instrText xml:space="preserve"> \* MERGEFORMAT </w:instrText>
      </w:r>
      <w:r w:rsidRPr="000474E9">
        <w:fldChar w:fldCharType="separate"/>
      </w:r>
      <w:r w:rsidRPr="000474E9">
        <w:rPr>
          <w:lang w:val="en-US"/>
        </w:rPr>
        <w:t>General Medical Council's Ethical</w:t>
      </w:r>
      <w:r>
        <w:rPr>
          <w:lang w:val="en-US"/>
        </w:rPr>
        <w:t xml:space="preserve"> hub on trans healthcare</w:t>
      </w:r>
      <w:r w:rsidRPr="000474E9">
        <w:rPr>
          <w:vertAlign w:val="superscript"/>
          <w:lang w:val="en-US"/>
        </w:rPr>
        <w:t>4</w:t>
      </w:r>
      <w:r w:rsidRPr="000474E9">
        <w:rPr>
          <w:lang w:val="en-US"/>
        </w:rPr>
        <w:t xml:space="preserve">  </w:t>
      </w:r>
      <w:r w:rsidRPr="000474E9">
        <w:fldChar w:fldCharType="end"/>
      </w:r>
    </w:p>
    <w:bookmarkEnd w:id="1"/>
    <w:p w14:paraId="4B47A25C" w14:textId="22CB939D" w:rsidR="000474E9" w:rsidRDefault="000474E9" w:rsidP="00915EFC">
      <w:pPr>
        <w:rPr>
          <w:lang w:val="en-US"/>
        </w:rPr>
      </w:pPr>
      <w:r>
        <w:rPr>
          <w:lang w:val="en-US"/>
        </w:rPr>
        <w:t xml:space="preserve">Both </w:t>
      </w:r>
      <w:r w:rsidR="00915EFC" w:rsidRPr="00915EFC">
        <w:rPr>
          <w:lang w:val="en-US"/>
        </w:rPr>
        <w:t xml:space="preserve">explain the role of GPs </w:t>
      </w:r>
      <w:r>
        <w:rPr>
          <w:lang w:val="en-US"/>
        </w:rPr>
        <w:t xml:space="preserve">in </w:t>
      </w:r>
      <w:r w:rsidR="00915EFC" w:rsidRPr="00915EFC">
        <w:rPr>
          <w:lang w:val="en-US"/>
        </w:rPr>
        <w:t>managing patients with gender identity problems, including questions relating to patient records, confidentiality, bridging prescriptions and prescribing and monitoring responsibilities. This guidance aims to explain what should be provided in primary care and to highlight some of the underpinning ethical and legal considerations.</w:t>
      </w:r>
    </w:p>
    <w:p w14:paraId="55AF2E3E" w14:textId="7D24BBB4" w:rsidR="008C77B1" w:rsidRDefault="00915EFC" w:rsidP="00340D81">
      <w:pPr>
        <w:rPr>
          <w:lang w:val="en-US"/>
        </w:rPr>
      </w:pPr>
      <w:r w:rsidRPr="5D68A7B0">
        <w:rPr>
          <w:lang w:val="en-US"/>
        </w:rPr>
        <w:t xml:space="preserve">Although there is a lack of a national or locally agreed pathway from specialist to primary care for patients with </w:t>
      </w:r>
      <w:r w:rsidR="000474E9" w:rsidRPr="5D68A7B0">
        <w:rPr>
          <w:lang w:val="en-US"/>
        </w:rPr>
        <w:t>g</w:t>
      </w:r>
      <w:r w:rsidRPr="5D68A7B0">
        <w:rPr>
          <w:lang w:val="en-US"/>
        </w:rPr>
        <w:t xml:space="preserve">ender </w:t>
      </w:r>
      <w:r w:rsidR="000474E9" w:rsidRPr="5D68A7B0">
        <w:rPr>
          <w:lang w:val="en-US"/>
        </w:rPr>
        <w:t>d</w:t>
      </w:r>
      <w:r w:rsidRPr="5D68A7B0">
        <w:rPr>
          <w:lang w:val="en-US"/>
        </w:rPr>
        <w:t xml:space="preserve">ysphoria, there remains an expectation from </w:t>
      </w:r>
      <w:r w:rsidR="000474E9" w:rsidRPr="5D68A7B0">
        <w:rPr>
          <w:lang w:val="en-US"/>
        </w:rPr>
        <w:t>GIS</w:t>
      </w:r>
      <w:r w:rsidRPr="5D68A7B0">
        <w:rPr>
          <w:lang w:val="en-US"/>
        </w:rPr>
        <w:t xml:space="preserve"> that GPs will prescribe and monitor hormones in line with their recommendations. Most recommended treatments are used “off label” and research evidence around the long-term impacts is still developing and remains limited. NHS </w:t>
      </w:r>
      <w:r w:rsidR="000474E9" w:rsidRPr="00340D81">
        <w:rPr>
          <w:lang w:val="en-US"/>
        </w:rPr>
        <w:t>Surrey Heartlands</w:t>
      </w:r>
      <w:r w:rsidRPr="00340D81">
        <w:rPr>
          <w:lang w:val="en-US"/>
        </w:rPr>
        <w:t xml:space="preserve"> does not have a </w:t>
      </w:r>
      <w:r w:rsidR="000474E9" w:rsidRPr="00340D81">
        <w:rPr>
          <w:lang w:val="en-US"/>
        </w:rPr>
        <w:t>GIS</w:t>
      </w:r>
      <w:r w:rsidRPr="00340D81">
        <w:rPr>
          <w:lang w:val="en-US"/>
        </w:rPr>
        <w:t xml:space="preserve"> within its footprint</w:t>
      </w:r>
      <w:r w:rsidR="0026386B" w:rsidRPr="00340D81">
        <w:rPr>
          <w:lang w:val="en-US"/>
        </w:rPr>
        <w:t>,</w:t>
      </w:r>
      <w:r w:rsidRPr="00340D81">
        <w:rPr>
          <w:lang w:val="en-US"/>
        </w:rPr>
        <w:t xml:space="preserve"> </w:t>
      </w:r>
      <w:r w:rsidR="0026386B" w:rsidRPr="00340D81">
        <w:rPr>
          <w:lang w:val="en-US"/>
        </w:rPr>
        <w:t>as such there is no invitation to be engaged in the process to agree provider specific shared care arrangements to support good governance and safety.</w:t>
      </w:r>
      <w:r w:rsidR="0026386B" w:rsidRPr="5D68A7B0">
        <w:rPr>
          <w:lang w:val="en-US"/>
        </w:rPr>
        <w:t xml:space="preserve"> </w:t>
      </w:r>
      <w:bookmarkStart w:id="2" w:name="_Hlk139545651"/>
    </w:p>
    <w:p w14:paraId="10F545E1" w14:textId="7FBAB9E7" w:rsidR="00565894" w:rsidRDefault="00565894" w:rsidP="00565894">
      <w:pPr>
        <w:spacing w:before="0" w:after="0"/>
        <w:rPr>
          <w:lang w:val="en-US"/>
        </w:rPr>
      </w:pPr>
      <w:r>
        <w:rPr>
          <w:lang w:val="en-US"/>
        </w:rPr>
        <w:t>This guidance has been developed to support prescribing in appropriate circumstances and covers:</w:t>
      </w:r>
    </w:p>
    <w:p w14:paraId="65A7CCB8" w14:textId="4964D79F" w:rsidR="006938E4" w:rsidRPr="006938E4" w:rsidRDefault="006938E4" w:rsidP="006938E4">
      <w:pPr>
        <w:pStyle w:val="ListParagraph"/>
        <w:numPr>
          <w:ilvl w:val="0"/>
          <w:numId w:val="10"/>
        </w:numPr>
        <w:spacing w:before="0" w:after="0"/>
        <w:rPr>
          <w:lang w:val="en-US"/>
        </w:rPr>
      </w:pPr>
      <w:hyperlink w:anchor="_Children_and_Young" w:history="1">
        <w:r w:rsidRPr="006938E4">
          <w:rPr>
            <w:rStyle w:val="Hyperlink"/>
            <w:lang w:val="en-US"/>
          </w:rPr>
          <w:t>Children and young people (aged less than 17 years)</w:t>
        </w:r>
      </w:hyperlink>
    </w:p>
    <w:p w14:paraId="1004C9C7" w14:textId="61879983" w:rsidR="006938E4" w:rsidRPr="006938E4" w:rsidRDefault="006938E4" w:rsidP="006938E4">
      <w:pPr>
        <w:pStyle w:val="ListParagraph"/>
        <w:numPr>
          <w:ilvl w:val="0"/>
          <w:numId w:val="10"/>
        </w:numPr>
        <w:spacing w:before="0" w:after="0"/>
        <w:rPr>
          <w:lang w:val="en-US"/>
        </w:rPr>
      </w:pPr>
      <w:hyperlink w:anchor="_Requests_to_prescribe" w:history="1">
        <w:r w:rsidRPr="006938E4">
          <w:rPr>
            <w:rStyle w:val="Hyperlink"/>
            <w:lang w:val="en-US"/>
          </w:rPr>
          <w:t>Requests to prescribe</w:t>
        </w:r>
      </w:hyperlink>
    </w:p>
    <w:p w14:paraId="267C7D5C" w14:textId="114D44C4" w:rsidR="006938E4" w:rsidRPr="006938E4" w:rsidRDefault="006938E4" w:rsidP="006938E4">
      <w:pPr>
        <w:pStyle w:val="ListParagraph"/>
        <w:numPr>
          <w:ilvl w:val="0"/>
          <w:numId w:val="10"/>
        </w:numPr>
        <w:spacing w:before="0" w:after="0"/>
        <w:rPr>
          <w:lang w:val="en-US"/>
        </w:rPr>
      </w:pPr>
      <w:hyperlink w:anchor="_Shared_care" w:history="1">
        <w:r w:rsidRPr="006938E4">
          <w:rPr>
            <w:rStyle w:val="Hyperlink"/>
            <w:lang w:val="en-US"/>
          </w:rPr>
          <w:t>Shared care</w:t>
        </w:r>
      </w:hyperlink>
    </w:p>
    <w:p w14:paraId="18A5C974" w14:textId="72140611" w:rsidR="006938E4" w:rsidRPr="006938E4" w:rsidRDefault="006938E4" w:rsidP="006938E4">
      <w:pPr>
        <w:pStyle w:val="ListParagraph"/>
        <w:numPr>
          <w:ilvl w:val="0"/>
          <w:numId w:val="10"/>
        </w:numPr>
        <w:spacing w:before="0" w:after="0"/>
        <w:rPr>
          <w:lang w:val="en-US"/>
        </w:rPr>
      </w:pPr>
      <w:hyperlink w:anchor="_On-going_care" w:history="1">
        <w:r w:rsidRPr="006938E4">
          <w:rPr>
            <w:rStyle w:val="Hyperlink"/>
            <w:lang w:val="en-US"/>
          </w:rPr>
          <w:t>Ongoing care</w:t>
        </w:r>
      </w:hyperlink>
    </w:p>
    <w:p w14:paraId="54FCB476" w14:textId="78295C38" w:rsidR="006938E4" w:rsidRPr="006938E4" w:rsidRDefault="006938E4" w:rsidP="006938E4">
      <w:pPr>
        <w:pStyle w:val="ListParagraph"/>
        <w:numPr>
          <w:ilvl w:val="0"/>
          <w:numId w:val="10"/>
        </w:numPr>
        <w:spacing w:before="0" w:after="0"/>
        <w:rPr>
          <w:lang w:val="en-US"/>
        </w:rPr>
      </w:pPr>
      <w:hyperlink w:anchor="_Private_GIS" w:history="1">
        <w:r w:rsidRPr="006938E4">
          <w:rPr>
            <w:rStyle w:val="Hyperlink"/>
            <w:lang w:val="en-US"/>
          </w:rPr>
          <w:t>Private providers</w:t>
        </w:r>
      </w:hyperlink>
    </w:p>
    <w:p w14:paraId="433B6D48" w14:textId="5780D510" w:rsidR="006938E4" w:rsidRPr="006938E4" w:rsidRDefault="006938E4" w:rsidP="006938E4">
      <w:pPr>
        <w:pStyle w:val="ListParagraph"/>
        <w:numPr>
          <w:ilvl w:val="0"/>
          <w:numId w:val="10"/>
        </w:numPr>
        <w:spacing w:before="0" w:after="0"/>
        <w:rPr>
          <w:lang w:val="en-US"/>
        </w:rPr>
      </w:pPr>
      <w:hyperlink w:anchor="_Appendix_1:_DRAFT" w:history="1">
        <w:r w:rsidRPr="006938E4">
          <w:rPr>
            <w:rStyle w:val="Hyperlink"/>
            <w:lang w:val="en-US"/>
          </w:rPr>
          <w:t>Due diligence</w:t>
        </w:r>
      </w:hyperlink>
    </w:p>
    <w:p w14:paraId="4268E1ED" w14:textId="1B7D24FD" w:rsidR="00B73060" w:rsidRDefault="00B73060">
      <w:pPr>
        <w:spacing w:before="0" w:after="0" w:line="240" w:lineRule="auto"/>
        <w:rPr>
          <w:lang w:val="en-US"/>
        </w:rPr>
      </w:pPr>
      <w:r>
        <w:rPr>
          <w:lang w:val="en-US"/>
        </w:rPr>
        <w:br w:type="page"/>
      </w:r>
    </w:p>
    <w:p w14:paraId="2B00C698" w14:textId="77777777" w:rsidR="00565894" w:rsidRPr="00340D81" w:rsidRDefault="00565894" w:rsidP="00340D81">
      <w:pPr>
        <w:rPr>
          <w:lang w:val="en-US"/>
        </w:rPr>
      </w:pPr>
    </w:p>
    <w:p w14:paraId="58519EF5" w14:textId="63F50179" w:rsidR="008C77B1" w:rsidRPr="00DB1923" w:rsidRDefault="008C77B1" w:rsidP="008C77B1">
      <w:pPr>
        <w:pStyle w:val="Heading2"/>
      </w:pPr>
      <w:bookmarkStart w:id="3" w:name="_Children_and_Young"/>
      <w:bookmarkStart w:id="4" w:name="_Hlk165727870"/>
      <w:bookmarkEnd w:id="2"/>
      <w:bookmarkEnd w:id="3"/>
      <w:r>
        <w:t xml:space="preserve">Children and Young </w:t>
      </w:r>
      <w:r w:rsidRPr="00430FCE">
        <w:t>People</w:t>
      </w:r>
    </w:p>
    <w:bookmarkEnd w:id="4"/>
    <w:p w14:paraId="47B2870A" w14:textId="6C9AD82D" w:rsidR="00EB2DA6" w:rsidRPr="00172E22" w:rsidRDefault="00513334"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t xml:space="preserve">In May </w:t>
      </w:r>
      <w:r w:rsidRPr="00172E22">
        <w:t>2024, the UK government introduced regulations to restrict the prescribing and supply of puberty supressing hormones from 3 June</w:t>
      </w:r>
      <w:r w:rsidR="00B73060">
        <w:t>.</w:t>
      </w:r>
    </w:p>
    <w:p w14:paraId="3AC4C29A" w14:textId="12B5B00A" w:rsidR="00513334" w:rsidRPr="00274D9A" w:rsidRDefault="00B73060"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rsidRPr="00274D9A">
        <w:t xml:space="preserve">These restrictions have been made permanent and </w:t>
      </w:r>
      <w:r w:rsidR="00513334" w:rsidRPr="00274D9A">
        <w:t xml:space="preserve">NHSE has issued </w:t>
      </w:r>
      <w:r w:rsidRPr="00274D9A">
        <w:t xml:space="preserve">updated </w:t>
      </w:r>
      <w:r w:rsidR="00513334" w:rsidRPr="00274D9A">
        <w:t xml:space="preserve">guidance on prescribing of these which has been used to inform the Surrey Heartlands statements for </w:t>
      </w:r>
      <w:r w:rsidR="00B45C5B" w:rsidRPr="00274D9A">
        <w:t xml:space="preserve">primary care prescribing in </w:t>
      </w:r>
      <w:r w:rsidR="00513334" w:rsidRPr="00274D9A">
        <w:t>CYP.  See appendix 1 for advice to prescribers and dispensers in the pdf here:</w:t>
      </w:r>
    </w:p>
    <w:p w14:paraId="3B33418E" w14:textId="0AFE3320" w:rsidR="00513334" w:rsidRDefault="00B73060" w:rsidP="00B45C5B">
      <w:pPr>
        <w:pBdr>
          <w:top w:val="single" w:sz="4" w:space="1" w:color="auto"/>
          <w:left w:val="single" w:sz="4" w:space="4" w:color="auto"/>
          <w:bottom w:val="single" w:sz="4" w:space="1" w:color="auto"/>
          <w:right w:val="single" w:sz="4" w:space="4" w:color="auto"/>
        </w:pBdr>
        <w:shd w:val="clear" w:color="auto" w:fill="E1F0F3" w:themeFill="accent5"/>
        <w:spacing w:after="0" w:line="240" w:lineRule="auto"/>
      </w:pPr>
      <w:r w:rsidRPr="00274D9A">
        <w:rPr>
          <w:color w:val="0070C0"/>
        </w:rPr>
        <w:object w:dxaOrig="1508" w:dyaOrig="982" w14:anchorId="69724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7" o:title=""/>
          </v:shape>
          <o:OLEObject Type="Embed" ProgID="AcroExch.Document.DC" ShapeID="_x0000_i1025" DrawAspect="Icon" ObjectID="_1799216715" r:id="rId8"/>
        </w:object>
      </w:r>
    </w:p>
    <w:p w14:paraId="10E5FCA9" w14:textId="238EDD19" w:rsidR="00F11B07" w:rsidRDefault="00F11B07" w:rsidP="00F11B07">
      <w:pPr>
        <w:spacing w:after="0" w:line="240" w:lineRule="auto"/>
      </w:pPr>
      <w:r w:rsidRPr="00513334">
        <w:t xml:space="preserve">The Southern hub for CYP gender services is provided through a partnership of Evelina Children’s Hospital, Great Ormond Street Hospital and South London and Maudsley Mental Health Trust  </w:t>
      </w:r>
      <w:hyperlink r:id="rId9" w:history="1">
        <w:r w:rsidRPr="00513334">
          <w:rPr>
            <w:rStyle w:val="Hyperlink"/>
          </w:rPr>
          <w:t>The NHS Children and Young People’s Gender Service (London) | Great Ormond Street Hospital (gosh.nhs.uk)</w:t>
        </w:r>
      </w:hyperlink>
      <w:r w:rsidRPr="00513334">
        <w:t>.</w:t>
      </w:r>
      <w:r>
        <w:t xml:space="preserve">  </w:t>
      </w:r>
    </w:p>
    <w:p w14:paraId="2EF5848D" w14:textId="0BE391B6" w:rsidR="006D16A6" w:rsidRPr="003C2F4A" w:rsidRDefault="006D16A6" w:rsidP="006D16A6">
      <w:pPr>
        <w:spacing w:after="0" w:line="240" w:lineRule="auto"/>
      </w:pPr>
      <w:r w:rsidRPr="003C2F4A">
        <w:t xml:space="preserve">With current services under review and future service transformation expected, prescribing in children and young people (CYP) should be in line with the </w:t>
      </w:r>
      <w:r w:rsidR="00545402" w:rsidRPr="003C2F4A">
        <w:t>Final Cass Report</w:t>
      </w:r>
      <w:r w:rsidR="006C7BDC">
        <w:rPr>
          <w:vertAlign w:val="superscript"/>
        </w:rPr>
        <w:t>5</w:t>
      </w:r>
      <w:r w:rsidR="00545402" w:rsidRPr="003C2F4A">
        <w:t xml:space="preserve"> and NHSE Clinical Commissiong policies which state that:</w:t>
      </w:r>
    </w:p>
    <w:p w14:paraId="47243D38" w14:textId="440B34C4" w:rsidR="00545402" w:rsidRPr="003C2F4A" w:rsidRDefault="00545402" w:rsidP="00565894">
      <w:pPr>
        <w:spacing w:after="0" w:line="240" w:lineRule="auto"/>
        <w:rPr>
          <w:b/>
          <w:bCs/>
          <w:vertAlign w:val="superscript"/>
        </w:rPr>
      </w:pPr>
      <w:r w:rsidRPr="003C2F4A">
        <w:rPr>
          <w:b/>
          <w:bCs/>
        </w:rPr>
        <w:t xml:space="preserve">Puberty suppressing hormones (March 2024) </w:t>
      </w:r>
      <w:r w:rsidR="006C7BDC">
        <w:rPr>
          <w:b/>
          <w:bCs/>
          <w:vertAlign w:val="superscript"/>
        </w:rPr>
        <w:t>6</w:t>
      </w:r>
    </w:p>
    <w:p w14:paraId="69E6ED52" w14:textId="159A36A9" w:rsidR="00F11B07" w:rsidRDefault="00545402" w:rsidP="00F11B07">
      <w:pPr>
        <w:spacing w:after="0" w:line="240" w:lineRule="auto"/>
      </w:pPr>
      <w:r w:rsidRPr="003C2F4A">
        <w:t>Puberty suppressing hormones (PSH) are not available as a routine commissioning treatment option for treatment of children and young people who have gender incongruence / gender dysphoria</w:t>
      </w:r>
      <w:r w:rsidR="00F11B07">
        <w:t xml:space="preserve">.  The new NHS services will not prescribe PSH to new patients unless as part of a trial.  </w:t>
      </w:r>
    </w:p>
    <w:p w14:paraId="6FC7C1A2" w14:textId="7283255E" w:rsidR="00F11B07" w:rsidRPr="00513334" w:rsidRDefault="00F11B07" w:rsidP="00F11B07">
      <w:pPr>
        <w:spacing w:after="0" w:line="240" w:lineRule="auto"/>
        <w:rPr>
          <w:i/>
          <w:iCs/>
        </w:rPr>
      </w:pPr>
      <w:r w:rsidRPr="00513334">
        <w:t>For those CYP already on PSH, advice has been issued in a letter from NHSE</w:t>
      </w:r>
      <w:r w:rsidRPr="00513334">
        <w:rPr>
          <w:vertAlign w:val="superscript"/>
        </w:rPr>
        <w:t>7</w:t>
      </w:r>
      <w:r w:rsidRPr="00513334">
        <w:t xml:space="preserve"> which states that for patients already referred under the care of</w:t>
      </w:r>
      <w:r w:rsidR="00E14F19" w:rsidRPr="00513334">
        <w:t xml:space="preserve"> an endocrine team </w:t>
      </w:r>
      <w:r w:rsidRPr="00513334">
        <w:rPr>
          <w:i/>
          <w:iCs/>
        </w:rPr>
        <w:t xml:space="preserve">‘there is an expectation that </w:t>
      </w:r>
      <w:proofErr w:type="spellStart"/>
      <w:r w:rsidRPr="00513334">
        <w:rPr>
          <w:i/>
          <w:iCs/>
        </w:rPr>
        <w:t>GnRHa</w:t>
      </w:r>
      <w:proofErr w:type="spellEnd"/>
      <w:r w:rsidRPr="00513334">
        <w:rPr>
          <w:i/>
          <w:iCs/>
        </w:rPr>
        <w:t xml:space="preserve"> will continue to be administered / be initiated, if that is the informed choice of the young person / parents of a child under 16 years, subject to the outcome of usual clinical review of the individual's existing individual care plan jointly between the individual's Lead Clinician and the young person / parents of a child under 16 years</w:t>
      </w:r>
      <w:r w:rsidR="00E14F19" w:rsidRPr="00513334">
        <w:rPr>
          <w:i/>
          <w:iCs/>
        </w:rPr>
        <w:t>’.</w:t>
      </w:r>
    </w:p>
    <w:p w14:paraId="0F898BC1" w14:textId="705B1E82" w:rsidR="00F724AB" w:rsidRPr="00513334" w:rsidRDefault="00F724AB" w:rsidP="00F724AB">
      <w:pPr>
        <w:spacing w:after="0" w:line="240" w:lineRule="auto"/>
      </w:pPr>
      <w:r w:rsidRPr="00513334">
        <w:t>NHSE have provided assurance to the ICB that children that have been prescribed hormone blockers have remained under GIDS (whilst they have not had new referrals) and have been transferred over to the new service from 1.4.24 so should continue to have medical follow up and shared care etc. just under a new provider.</w:t>
      </w:r>
    </w:p>
    <w:p w14:paraId="49B565FC" w14:textId="4967ADD9" w:rsidR="00F724AB" w:rsidRPr="00513334" w:rsidRDefault="00F724AB" w:rsidP="00F724AB">
      <w:pPr>
        <w:spacing w:after="0" w:line="240" w:lineRule="auto"/>
      </w:pPr>
      <w:r w:rsidRPr="00513334">
        <w:t xml:space="preserve">From the advice above it is likely that there are no current patients under NHS services being prescribed puberty supressing hormones in primary care, however because this is not a certainty it is advised that  for patients who have started puberty blockers under the care of an NHS provider, prescribing may need to continue in primary care until the patient is next reviewed by the service Lead Clinician within the new provider.  Any concerns should be </w:t>
      </w:r>
      <w:r w:rsidRPr="00513334">
        <w:lastRenderedPageBreak/>
        <w:t xml:space="preserve">referred to the new service provider initially </w:t>
      </w:r>
      <w:hyperlink r:id="rId10" w:history="1">
        <w:r w:rsidRPr="00513334">
          <w:rPr>
            <w:rStyle w:val="Hyperlink"/>
          </w:rPr>
          <w:t>The NHS Children and Young People’s Gender Service (London) | Great Ormond Street Hospital (gosh.nhs.uk)</w:t>
        </w:r>
      </w:hyperlink>
    </w:p>
    <w:p w14:paraId="4114AD9E" w14:textId="56DA89C5" w:rsidR="003767A2" w:rsidRDefault="003767A2" w:rsidP="003767A2">
      <w:pPr>
        <w:spacing w:after="0" w:line="240" w:lineRule="auto"/>
      </w:pPr>
      <w:r w:rsidRPr="00513334">
        <w:rPr>
          <w:b/>
          <w:bCs/>
        </w:rPr>
        <w:t>Private initiations:</w:t>
      </w:r>
      <w:r w:rsidRPr="00513334">
        <w:t xml:space="preserve">  For patients who started puberty blockers under the care of a private provider, prescribing may need to continue in primary care until the patient is next reviewed.  Patients should be advised of the new NHS policy and recommendation made to return to the private provider for consideration of stopping.</w:t>
      </w:r>
    </w:p>
    <w:p w14:paraId="1C38419D" w14:textId="77777777" w:rsidR="001B14C6" w:rsidRDefault="001B14C6" w:rsidP="001B14C6">
      <w:pPr>
        <w:rPr>
          <w:lang w:val="en-US"/>
        </w:rPr>
      </w:pPr>
      <w:r w:rsidRPr="001B14C6">
        <w:rPr>
          <w:lang w:val="en-US"/>
        </w:rPr>
        <w:t>Based on the clinical commissioning policies issued by NHSE, Surrey Heartlands Area Prescribing Committee have agreed the following arrangements for children and young people in primary care:</w:t>
      </w:r>
    </w:p>
    <w:tbl>
      <w:tblPr>
        <w:tblStyle w:val="TableGrid"/>
        <w:tblW w:w="9209" w:type="dxa"/>
        <w:tblLook w:val="04A0" w:firstRow="1" w:lastRow="0" w:firstColumn="1" w:lastColumn="0" w:noHBand="0" w:noVBand="1"/>
      </w:tblPr>
      <w:tblGrid>
        <w:gridCol w:w="2058"/>
        <w:gridCol w:w="7151"/>
      </w:tblGrid>
      <w:tr w:rsidR="001B14C6" w:rsidRPr="003C2F4A" w14:paraId="571B89FE" w14:textId="77777777" w:rsidTr="001B14C6">
        <w:tc>
          <w:tcPr>
            <w:tcW w:w="9209" w:type="dxa"/>
            <w:gridSpan w:val="2"/>
            <w:shd w:val="clear" w:color="auto" w:fill="E1F0F3" w:themeFill="accent5"/>
          </w:tcPr>
          <w:p w14:paraId="7A6D8887" w14:textId="13A70DDF" w:rsidR="001B14C6" w:rsidRPr="003C2F4A" w:rsidRDefault="001B14C6" w:rsidP="009D34CB">
            <w:pPr>
              <w:spacing w:before="0" w:after="0"/>
              <w:rPr>
                <w:b/>
                <w:bCs/>
                <w:lang w:val="en-US"/>
              </w:rPr>
            </w:pPr>
            <w:r w:rsidRPr="003C2F4A">
              <w:rPr>
                <w:b/>
                <w:bCs/>
              </w:rPr>
              <w:t>Puberty suppressing hormones</w:t>
            </w:r>
            <w:r w:rsidR="00B45C5B">
              <w:rPr>
                <w:b/>
                <w:bCs/>
              </w:rPr>
              <w:t xml:space="preserve"> for under 18s</w:t>
            </w:r>
            <w:r w:rsidR="00E4617C">
              <w:rPr>
                <w:b/>
                <w:bCs/>
              </w:rPr>
              <w:t xml:space="preserve"> (Private &amp; NHS)</w:t>
            </w:r>
            <w:r w:rsidR="00B11ECB">
              <w:rPr>
                <w:b/>
                <w:bCs/>
              </w:rPr>
              <w:t>, and anti-androgens</w:t>
            </w:r>
          </w:p>
        </w:tc>
      </w:tr>
      <w:tr w:rsidR="001B14C6" w14:paraId="2744E348" w14:textId="77777777" w:rsidTr="001B14C6">
        <w:tc>
          <w:tcPr>
            <w:tcW w:w="2058" w:type="dxa"/>
            <w:shd w:val="clear" w:color="auto" w:fill="E1F0F3" w:themeFill="accent5"/>
          </w:tcPr>
          <w:p w14:paraId="5689C54A" w14:textId="77777777" w:rsidR="001B14C6" w:rsidRDefault="001B14C6" w:rsidP="009D34CB">
            <w:pPr>
              <w:spacing w:before="0" w:after="0"/>
              <w:rPr>
                <w:lang w:val="en-US"/>
              </w:rPr>
            </w:pPr>
            <w:r>
              <w:rPr>
                <w:lang w:val="en-US"/>
              </w:rPr>
              <w:t>New patients</w:t>
            </w:r>
          </w:p>
        </w:tc>
        <w:tc>
          <w:tcPr>
            <w:tcW w:w="7151" w:type="dxa"/>
            <w:shd w:val="clear" w:color="auto" w:fill="E1F0F3" w:themeFill="accent5"/>
          </w:tcPr>
          <w:p w14:paraId="7E6296EC" w14:textId="77777777" w:rsidR="001B14C6" w:rsidRDefault="001B14C6" w:rsidP="009D34CB">
            <w:pPr>
              <w:spacing w:before="0" w:after="0"/>
              <w:rPr>
                <w:lang w:val="en-US"/>
              </w:rPr>
            </w:pPr>
            <w:r>
              <w:rPr>
                <w:lang w:val="en-US"/>
              </w:rPr>
              <w:t>Do not prescribe</w:t>
            </w:r>
          </w:p>
        </w:tc>
      </w:tr>
      <w:tr w:rsidR="001B14C6" w14:paraId="1EA6250D" w14:textId="77777777" w:rsidTr="00E4617C">
        <w:trPr>
          <w:trHeight w:val="1984"/>
        </w:trPr>
        <w:tc>
          <w:tcPr>
            <w:tcW w:w="2058" w:type="dxa"/>
            <w:shd w:val="clear" w:color="auto" w:fill="E1F0F3" w:themeFill="accent5"/>
          </w:tcPr>
          <w:p w14:paraId="18D00B43" w14:textId="77777777" w:rsidR="001B14C6" w:rsidRDefault="001B14C6" w:rsidP="009D34CB">
            <w:pPr>
              <w:spacing w:before="0" w:after="0"/>
              <w:rPr>
                <w:lang w:val="en-US"/>
              </w:rPr>
            </w:pPr>
            <w:r>
              <w:rPr>
                <w:lang w:val="en-US"/>
              </w:rPr>
              <w:t>Current patients</w:t>
            </w:r>
          </w:p>
        </w:tc>
        <w:tc>
          <w:tcPr>
            <w:tcW w:w="7151" w:type="dxa"/>
            <w:shd w:val="clear" w:color="auto" w:fill="E1F0F3" w:themeFill="accent5"/>
          </w:tcPr>
          <w:p w14:paraId="4CFD5D29" w14:textId="08BC9B90" w:rsidR="00B45C5B" w:rsidRDefault="001B14C6" w:rsidP="00B45C5B">
            <w:pPr>
              <w:spacing w:before="0" w:after="0"/>
            </w:pPr>
            <w:r>
              <w:t>C</w:t>
            </w:r>
            <w:r w:rsidRPr="00565894">
              <w:t>ontinue to in line with any agreed shared care protocols in place</w:t>
            </w:r>
            <w:r w:rsidR="00B45C5B">
              <w:t xml:space="preserve">.  Strongly advise </w:t>
            </w:r>
            <w:r>
              <w:t xml:space="preserve">the patient </w:t>
            </w:r>
            <w:r w:rsidR="00B45C5B">
              <w:t>to meet with their clinician to fully understand the risks of continuing taking GnRH analogues for puberty</w:t>
            </w:r>
            <w:r w:rsidR="00E4617C">
              <w:t xml:space="preserve"> </w:t>
            </w:r>
            <w:r w:rsidR="00B45C5B">
              <w:t>suppression.</w:t>
            </w:r>
          </w:p>
          <w:p w14:paraId="004CD579" w14:textId="6BDA032B" w:rsidR="001B14C6" w:rsidRPr="00E4617C" w:rsidRDefault="00B45C5B" w:rsidP="00E4617C">
            <w:pPr>
              <w:spacing w:before="0" w:after="0"/>
            </w:pPr>
            <w:r>
              <w:t>These</w:t>
            </w:r>
            <w:r w:rsidR="00E4617C">
              <w:t xml:space="preserve"> </w:t>
            </w:r>
            <w:r>
              <w:t>medications can</w:t>
            </w:r>
            <w:r w:rsidR="00E4617C">
              <w:t xml:space="preserve"> </w:t>
            </w:r>
            <w:r>
              <w:t>be stopped and</w:t>
            </w:r>
            <w:r w:rsidR="00E4617C">
              <w:t xml:space="preserve"> </w:t>
            </w:r>
            <w:r>
              <w:t>do not need to</w:t>
            </w:r>
            <w:r w:rsidR="00E4617C">
              <w:t xml:space="preserve"> </w:t>
            </w:r>
            <w:r>
              <w:t>be weaned off</w:t>
            </w:r>
            <w:r w:rsidR="00E4617C">
              <w:t>.</w:t>
            </w:r>
          </w:p>
        </w:tc>
      </w:tr>
    </w:tbl>
    <w:p w14:paraId="3B22A93A" w14:textId="332D3E91" w:rsidR="00545402" w:rsidRPr="003C2F4A" w:rsidRDefault="00545402" w:rsidP="00565894">
      <w:pPr>
        <w:spacing w:after="0" w:line="240" w:lineRule="auto"/>
        <w:rPr>
          <w:b/>
          <w:bCs/>
          <w:vertAlign w:val="superscript"/>
        </w:rPr>
      </w:pPr>
      <w:r w:rsidRPr="003C2F4A">
        <w:rPr>
          <w:b/>
          <w:bCs/>
        </w:rPr>
        <w:t xml:space="preserve">Gender affirming hormones (March 2024) </w:t>
      </w:r>
      <w:r w:rsidR="006C7BDC">
        <w:rPr>
          <w:b/>
          <w:bCs/>
          <w:vertAlign w:val="superscript"/>
        </w:rPr>
        <w:t>8</w:t>
      </w:r>
    </w:p>
    <w:p w14:paraId="6AD4D9F4" w14:textId="712A7DA8" w:rsidR="00545402" w:rsidRDefault="00545402" w:rsidP="00545402">
      <w:pPr>
        <w:spacing w:after="0" w:line="240" w:lineRule="auto"/>
      </w:pPr>
      <w:r w:rsidRPr="003C2F4A">
        <w:t>NHS England will commission this intervention as part of the specialised service for Children and Young People with Gender Incongruence in those aged around 16</w:t>
      </w:r>
      <w:r w:rsidR="006C7BDC">
        <w:t xml:space="preserve"> </w:t>
      </w:r>
      <w:r w:rsidRPr="003C2F4A">
        <w:t>year</w:t>
      </w:r>
      <w:r w:rsidR="006C7BDC">
        <w:t>s</w:t>
      </w:r>
      <w:r w:rsidRPr="003C2F4A">
        <w:t xml:space="preserve"> AND meeting their eligibility and readiness criteria.</w:t>
      </w:r>
    </w:p>
    <w:p w14:paraId="294F159E" w14:textId="77777777" w:rsidR="00C3601D" w:rsidRDefault="00C3601D" w:rsidP="00C3601D">
      <w:pPr>
        <w:rPr>
          <w:lang w:val="en-US"/>
        </w:rPr>
      </w:pPr>
      <w:bookmarkStart w:id="5" w:name="_Hlk167463647"/>
      <w:r w:rsidRPr="00B11ECB">
        <w:rPr>
          <w:lang w:val="en-US"/>
        </w:rPr>
        <w:t>Based on the clinical commissioning policies issued by NHSE, Surrey Heartlands Area Prescribing Committee have agreed the following arrangements for children and young people in primary care:</w:t>
      </w:r>
    </w:p>
    <w:tbl>
      <w:tblPr>
        <w:tblStyle w:val="TableGrid"/>
        <w:tblW w:w="9209" w:type="dxa"/>
        <w:tblLook w:val="04A0" w:firstRow="1" w:lastRow="0" w:firstColumn="1" w:lastColumn="0" w:noHBand="0" w:noVBand="1"/>
      </w:tblPr>
      <w:tblGrid>
        <w:gridCol w:w="2058"/>
        <w:gridCol w:w="7151"/>
      </w:tblGrid>
      <w:tr w:rsidR="001B14C6" w:rsidRPr="003C2F4A" w14:paraId="654E3AA3" w14:textId="77777777" w:rsidTr="001B14C6">
        <w:tc>
          <w:tcPr>
            <w:tcW w:w="9209" w:type="dxa"/>
            <w:gridSpan w:val="2"/>
            <w:shd w:val="clear" w:color="auto" w:fill="E7E6E6" w:themeFill="background2"/>
          </w:tcPr>
          <w:bookmarkEnd w:id="5"/>
          <w:p w14:paraId="77286F99" w14:textId="7557BCF5" w:rsidR="001B14C6" w:rsidRPr="003C2F4A" w:rsidRDefault="001B14C6" w:rsidP="00565894">
            <w:pPr>
              <w:spacing w:before="0" w:after="0"/>
              <w:rPr>
                <w:b/>
                <w:bCs/>
                <w:lang w:val="en-US"/>
              </w:rPr>
            </w:pPr>
            <w:r w:rsidRPr="003C2F4A">
              <w:rPr>
                <w:b/>
                <w:bCs/>
              </w:rPr>
              <w:t>Gender affirming hormones</w:t>
            </w:r>
            <w:bookmarkStart w:id="6" w:name="_Hlk167463478"/>
            <w:r w:rsidR="00B11ECB">
              <w:rPr>
                <w:b/>
                <w:bCs/>
              </w:rPr>
              <w:t xml:space="preserve"> (excluding anti-androgens)</w:t>
            </w:r>
          </w:p>
        </w:tc>
      </w:tr>
      <w:tr w:rsidR="001B14C6" w14:paraId="0AAF65BF" w14:textId="77777777" w:rsidTr="001B14C6">
        <w:tc>
          <w:tcPr>
            <w:tcW w:w="2058" w:type="dxa"/>
            <w:shd w:val="clear" w:color="auto" w:fill="E7E6E6" w:themeFill="background2"/>
          </w:tcPr>
          <w:p w14:paraId="052C7B60" w14:textId="2C56BB6E" w:rsidR="001B14C6" w:rsidRDefault="001B14C6" w:rsidP="00565894">
            <w:pPr>
              <w:spacing w:before="0" w:after="0"/>
              <w:rPr>
                <w:lang w:val="en-US"/>
              </w:rPr>
            </w:pPr>
            <w:r>
              <w:rPr>
                <w:lang w:val="en-US"/>
              </w:rPr>
              <w:t>New patients</w:t>
            </w:r>
          </w:p>
        </w:tc>
        <w:tc>
          <w:tcPr>
            <w:tcW w:w="7151" w:type="dxa"/>
            <w:shd w:val="clear" w:color="auto" w:fill="E7E6E6" w:themeFill="background2"/>
          </w:tcPr>
          <w:p w14:paraId="66027914" w14:textId="77777777" w:rsidR="001B14C6" w:rsidRDefault="001B14C6" w:rsidP="00565894">
            <w:pPr>
              <w:spacing w:before="0" w:after="0"/>
            </w:pPr>
            <w:r w:rsidRPr="00565894">
              <w:t>Consider any request for gender affirming hormones in line with appropriate shared care protocols</w:t>
            </w:r>
            <w:r>
              <w:t xml:space="preserve">.  </w:t>
            </w:r>
          </w:p>
          <w:p w14:paraId="24D140CB" w14:textId="719191FA" w:rsidR="001B14C6" w:rsidRDefault="001B14C6" w:rsidP="00565894">
            <w:pPr>
              <w:spacing w:before="0" w:after="0"/>
              <w:rPr>
                <w:lang w:val="en-US"/>
              </w:rPr>
            </w:pPr>
            <w:r>
              <w:t>Requests from</w:t>
            </w:r>
            <w:r w:rsidRPr="001B14C6">
              <w:t xml:space="preserve"> private provider should additionally be</w:t>
            </w:r>
            <w:r>
              <w:t xml:space="preserve"> subject to a due diligence check (appendix 1)</w:t>
            </w:r>
          </w:p>
        </w:tc>
      </w:tr>
      <w:tr w:rsidR="001B14C6" w14:paraId="051A2C57" w14:textId="77777777" w:rsidTr="001B14C6">
        <w:tc>
          <w:tcPr>
            <w:tcW w:w="2058" w:type="dxa"/>
            <w:shd w:val="clear" w:color="auto" w:fill="E7E6E6" w:themeFill="background2"/>
          </w:tcPr>
          <w:p w14:paraId="05DEF422" w14:textId="1661451A" w:rsidR="001B14C6" w:rsidRDefault="001B14C6" w:rsidP="00565894">
            <w:pPr>
              <w:spacing w:before="0" w:after="0"/>
              <w:rPr>
                <w:lang w:val="en-US"/>
              </w:rPr>
            </w:pPr>
            <w:r>
              <w:rPr>
                <w:lang w:val="en-US"/>
              </w:rPr>
              <w:t>Current patients</w:t>
            </w:r>
          </w:p>
        </w:tc>
        <w:tc>
          <w:tcPr>
            <w:tcW w:w="7151" w:type="dxa"/>
            <w:shd w:val="clear" w:color="auto" w:fill="E7E6E6" w:themeFill="background2"/>
          </w:tcPr>
          <w:p w14:paraId="54E8E15A" w14:textId="1621A56E" w:rsidR="001B14C6" w:rsidRDefault="001B14C6" w:rsidP="00565894">
            <w:pPr>
              <w:spacing w:before="0" w:after="0"/>
              <w:rPr>
                <w:lang w:val="en-US"/>
              </w:rPr>
            </w:pPr>
            <w:r>
              <w:t>C</w:t>
            </w:r>
            <w:r w:rsidRPr="00565894">
              <w:t>ontinue to in line with any agreed shared care protocols in place</w:t>
            </w:r>
            <w:r w:rsidR="002A3035">
              <w:t>.</w:t>
            </w:r>
          </w:p>
        </w:tc>
      </w:tr>
    </w:tbl>
    <w:p w14:paraId="5AF2092F" w14:textId="77777777" w:rsidR="009B1CB1" w:rsidRPr="00DB1923" w:rsidRDefault="009B1CB1" w:rsidP="009B1CB1">
      <w:pPr>
        <w:pStyle w:val="Heading2"/>
      </w:pPr>
      <w:bookmarkStart w:id="7" w:name="_Requests_to_prescribe"/>
      <w:bookmarkStart w:id="8" w:name="_Hlk139546439"/>
      <w:bookmarkEnd w:id="6"/>
      <w:bookmarkEnd w:id="7"/>
      <w:r>
        <w:t>Requests to prescribe</w:t>
      </w:r>
    </w:p>
    <w:bookmarkEnd w:id="8"/>
    <w:p w14:paraId="125741AB" w14:textId="5C584018" w:rsidR="009B1CB1" w:rsidRPr="00915EFC" w:rsidRDefault="009B1CB1" w:rsidP="009B1CB1">
      <w:pPr>
        <w:rPr>
          <w:lang w:val="en-US"/>
        </w:rPr>
      </w:pPr>
      <w:r w:rsidRPr="00915EFC">
        <w:rPr>
          <w:lang w:val="en-US"/>
        </w:rPr>
        <w:t>NHS England recommends that all requests to prescribe should be considered on a case-by-case basis and GPs should approach shared care and collaboration with gender identity specialists in the same way as they would any other specialist</w:t>
      </w:r>
      <w:r w:rsidR="006C7BDC">
        <w:rPr>
          <w:vertAlign w:val="superscript"/>
          <w:lang w:val="en-US"/>
        </w:rPr>
        <w:t>9</w:t>
      </w:r>
      <w:r w:rsidRPr="00915EFC">
        <w:rPr>
          <w:lang w:val="en-US"/>
        </w:rPr>
        <w:t>. Participating in a formal shared care agreement is voluntary, subject to a self- assessment of personal competence, and requires the agreement of all parties, including the patient. The advice should therefore be read in conjunction with the principles which underpin shared care as set out by the GMC in Good practice in prescribing and managing medicines and devices</w:t>
      </w:r>
      <w:r w:rsidR="006C7BDC">
        <w:rPr>
          <w:vertAlign w:val="superscript"/>
          <w:lang w:val="en-US"/>
        </w:rPr>
        <w:t>10</w:t>
      </w:r>
      <w:r>
        <w:t>.</w:t>
      </w:r>
    </w:p>
    <w:p w14:paraId="387EFEAF" w14:textId="77777777" w:rsidR="009B1CB1" w:rsidRPr="00915EFC" w:rsidRDefault="009B1CB1" w:rsidP="009B1CB1">
      <w:pPr>
        <w:pStyle w:val="ListParagraph"/>
      </w:pPr>
      <w:r>
        <w:t>The</w:t>
      </w:r>
      <w:r>
        <w:rPr>
          <w:spacing w:val="-5"/>
        </w:rPr>
        <w:t xml:space="preserve"> </w:t>
      </w:r>
      <w:r>
        <w:t>clinician</w:t>
      </w:r>
      <w:r>
        <w:rPr>
          <w:spacing w:val="-5"/>
        </w:rPr>
        <w:t xml:space="preserve"> </w:t>
      </w:r>
      <w:r>
        <w:t>is</w:t>
      </w:r>
      <w:r>
        <w:rPr>
          <w:spacing w:val="-7"/>
        </w:rPr>
        <w:t xml:space="preserve"> </w:t>
      </w:r>
      <w:r>
        <w:t>responsible</w:t>
      </w:r>
      <w:r>
        <w:rPr>
          <w:spacing w:val="-6"/>
        </w:rPr>
        <w:t xml:space="preserve"> </w:t>
      </w:r>
      <w:r>
        <w:t>for</w:t>
      </w:r>
      <w:r>
        <w:rPr>
          <w:spacing w:val="-5"/>
        </w:rPr>
        <w:t xml:space="preserve"> </w:t>
      </w:r>
      <w:r>
        <w:t>the</w:t>
      </w:r>
      <w:r>
        <w:rPr>
          <w:spacing w:val="-4"/>
        </w:rPr>
        <w:t xml:space="preserve"> </w:t>
      </w:r>
      <w:r>
        <w:t>prescriptions</w:t>
      </w:r>
      <w:r>
        <w:rPr>
          <w:spacing w:val="-6"/>
        </w:rPr>
        <w:t xml:space="preserve"> </w:t>
      </w:r>
      <w:r>
        <w:t>they</w:t>
      </w:r>
      <w:r>
        <w:rPr>
          <w:spacing w:val="-6"/>
        </w:rPr>
        <w:t xml:space="preserve"> </w:t>
      </w:r>
      <w:r>
        <w:rPr>
          <w:spacing w:val="-4"/>
        </w:rPr>
        <w:t>sign</w:t>
      </w:r>
    </w:p>
    <w:p w14:paraId="7AFD56F0" w14:textId="77777777" w:rsidR="009B1CB1" w:rsidRDefault="009B1CB1" w:rsidP="009B1CB1">
      <w:pPr>
        <w:pStyle w:val="ListParagraph"/>
      </w:pPr>
      <w:r>
        <w:t>Drugs</w:t>
      </w:r>
      <w:r w:rsidRPr="00915EFC">
        <w:rPr>
          <w:spacing w:val="-4"/>
        </w:rPr>
        <w:t xml:space="preserve"> </w:t>
      </w:r>
      <w:r>
        <w:t>and</w:t>
      </w:r>
      <w:r w:rsidRPr="00915EFC">
        <w:rPr>
          <w:spacing w:val="-5"/>
        </w:rPr>
        <w:t xml:space="preserve"> </w:t>
      </w:r>
      <w:r>
        <w:t>other</w:t>
      </w:r>
      <w:r w:rsidRPr="00915EFC">
        <w:rPr>
          <w:spacing w:val="-6"/>
        </w:rPr>
        <w:t xml:space="preserve"> </w:t>
      </w:r>
      <w:r>
        <w:t>treatment</w:t>
      </w:r>
      <w:r w:rsidRPr="00915EFC">
        <w:rPr>
          <w:spacing w:val="-6"/>
        </w:rPr>
        <w:t xml:space="preserve"> </w:t>
      </w:r>
      <w:r>
        <w:t>should</w:t>
      </w:r>
      <w:r w:rsidRPr="00915EFC">
        <w:rPr>
          <w:spacing w:val="-6"/>
        </w:rPr>
        <w:t xml:space="preserve"> </w:t>
      </w:r>
      <w:r>
        <w:t>only</w:t>
      </w:r>
      <w:r w:rsidRPr="00915EFC">
        <w:rPr>
          <w:spacing w:val="-3"/>
        </w:rPr>
        <w:t xml:space="preserve"> </w:t>
      </w:r>
      <w:r>
        <w:t>be</w:t>
      </w:r>
      <w:r w:rsidRPr="00915EFC">
        <w:rPr>
          <w:spacing w:val="-6"/>
        </w:rPr>
        <w:t xml:space="preserve"> </w:t>
      </w:r>
      <w:r>
        <w:t>prescribed</w:t>
      </w:r>
      <w:r w:rsidRPr="00915EFC">
        <w:rPr>
          <w:spacing w:val="-8"/>
        </w:rPr>
        <w:t xml:space="preserve"> </w:t>
      </w:r>
      <w:r>
        <w:t>when</w:t>
      </w:r>
      <w:r w:rsidRPr="00915EFC">
        <w:rPr>
          <w:spacing w:val="-3"/>
        </w:rPr>
        <w:t xml:space="preserve"> </w:t>
      </w:r>
      <w:r>
        <w:t>a</w:t>
      </w:r>
      <w:r w:rsidRPr="00915EFC">
        <w:rPr>
          <w:spacing w:val="-4"/>
        </w:rPr>
        <w:t xml:space="preserve"> </w:t>
      </w:r>
      <w:r>
        <w:t>clinician</w:t>
      </w:r>
      <w:r w:rsidRPr="00915EFC">
        <w:rPr>
          <w:spacing w:val="-7"/>
        </w:rPr>
        <w:t xml:space="preserve"> </w:t>
      </w:r>
      <w:r>
        <w:t>has</w:t>
      </w:r>
      <w:r w:rsidRPr="00915EFC">
        <w:rPr>
          <w:spacing w:val="-4"/>
        </w:rPr>
        <w:t xml:space="preserve"> </w:t>
      </w:r>
      <w:r>
        <w:t>adequate</w:t>
      </w:r>
      <w:r w:rsidRPr="00915EFC">
        <w:rPr>
          <w:spacing w:val="-3"/>
        </w:rPr>
        <w:t xml:space="preserve"> </w:t>
      </w:r>
      <w:r>
        <w:t>knowledge</w:t>
      </w:r>
      <w:r w:rsidRPr="00915EFC">
        <w:rPr>
          <w:spacing w:val="-6"/>
        </w:rPr>
        <w:t xml:space="preserve"> </w:t>
      </w:r>
      <w:r>
        <w:t>of</w:t>
      </w:r>
      <w:r w:rsidRPr="00915EFC">
        <w:rPr>
          <w:spacing w:val="-3"/>
        </w:rPr>
        <w:t xml:space="preserve"> </w:t>
      </w:r>
      <w:r w:rsidRPr="00915EFC">
        <w:rPr>
          <w:spacing w:val="-10"/>
        </w:rPr>
        <w:t xml:space="preserve">a </w:t>
      </w:r>
      <w:r>
        <w:t>patient’s</w:t>
      </w:r>
      <w:r w:rsidRPr="00915EFC">
        <w:rPr>
          <w:spacing w:val="-6"/>
        </w:rPr>
        <w:t xml:space="preserve"> </w:t>
      </w:r>
      <w:r>
        <w:t>health</w:t>
      </w:r>
      <w:r w:rsidRPr="00915EFC">
        <w:rPr>
          <w:spacing w:val="-5"/>
        </w:rPr>
        <w:t xml:space="preserve"> </w:t>
      </w:r>
      <w:r>
        <w:t>and</w:t>
      </w:r>
      <w:r w:rsidRPr="00915EFC">
        <w:rPr>
          <w:spacing w:val="-5"/>
        </w:rPr>
        <w:t xml:space="preserve"> </w:t>
      </w:r>
      <w:r>
        <w:t>satisfied</w:t>
      </w:r>
      <w:r w:rsidRPr="00915EFC">
        <w:rPr>
          <w:spacing w:val="-4"/>
        </w:rPr>
        <w:t xml:space="preserve"> </w:t>
      </w:r>
      <w:r>
        <w:t>that</w:t>
      </w:r>
      <w:r w:rsidRPr="00915EFC">
        <w:rPr>
          <w:spacing w:val="-5"/>
        </w:rPr>
        <w:t xml:space="preserve"> </w:t>
      </w:r>
      <w:r>
        <w:t>the</w:t>
      </w:r>
      <w:r w:rsidRPr="00915EFC">
        <w:rPr>
          <w:spacing w:val="-4"/>
        </w:rPr>
        <w:t xml:space="preserve"> </w:t>
      </w:r>
      <w:r>
        <w:t>treatment</w:t>
      </w:r>
      <w:r w:rsidRPr="00915EFC">
        <w:rPr>
          <w:spacing w:val="-7"/>
        </w:rPr>
        <w:t xml:space="preserve"> </w:t>
      </w:r>
      <w:r>
        <w:t>serves</w:t>
      </w:r>
      <w:r w:rsidRPr="00915EFC">
        <w:rPr>
          <w:spacing w:val="-2"/>
        </w:rPr>
        <w:t xml:space="preserve"> </w:t>
      </w:r>
      <w:r>
        <w:t>the</w:t>
      </w:r>
      <w:r w:rsidRPr="00915EFC">
        <w:rPr>
          <w:spacing w:val="-6"/>
        </w:rPr>
        <w:t xml:space="preserve"> </w:t>
      </w:r>
      <w:r>
        <w:t xml:space="preserve">patient’s </w:t>
      </w:r>
      <w:r w:rsidRPr="00915EFC">
        <w:rPr>
          <w:spacing w:val="-2"/>
        </w:rPr>
        <w:t>needs</w:t>
      </w:r>
    </w:p>
    <w:p w14:paraId="63FD2D72" w14:textId="77777777" w:rsidR="009B1CB1" w:rsidRPr="00915EFC" w:rsidRDefault="009B1CB1" w:rsidP="009B1CB1">
      <w:pPr>
        <w:pStyle w:val="ListParagraph"/>
      </w:pPr>
      <w:r>
        <w:t>If a clinician prescribes at the recommendation</w:t>
      </w:r>
      <w:r>
        <w:rPr>
          <w:spacing w:val="-3"/>
        </w:rPr>
        <w:t xml:space="preserve"> </w:t>
      </w:r>
      <w:r>
        <w:t>of another, they must satisfy themselves that the prescription</w:t>
      </w:r>
      <w:r>
        <w:rPr>
          <w:spacing w:val="-6"/>
        </w:rPr>
        <w:t xml:space="preserve"> </w:t>
      </w:r>
      <w:r>
        <w:t>is</w:t>
      </w:r>
      <w:r>
        <w:rPr>
          <w:spacing w:val="-2"/>
        </w:rPr>
        <w:t xml:space="preserve"> </w:t>
      </w:r>
      <w:r>
        <w:t>needed,</w:t>
      </w:r>
      <w:r>
        <w:rPr>
          <w:spacing w:val="-2"/>
        </w:rPr>
        <w:t xml:space="preserve"> </w:t>
      </w:r>
      <w:r>
        <w:t>appropriate</w:t>
      </w:r>
      <w:r>
        <w:rPr>
          <w:spacing w:val="-4"/>
        </w:rPr>
        <w:t xml:space="preserve"> </w:t>
      </w:r>
      <w:r>
        <w:t>for</w:t>
      </w:r>
      <w:r>
        <w:rPr>
          <w:spacing w:val="-5"/>
        </w:rPr>
        <w:t xml:space="preserve"> </w:t>
      </w:r>
      <w:r>
        <w:t>the</w:t>
      </w:r>
      <w:r>
        <w:rPr>
          <w:spacing w:val="-2"/>
        </w:rPr>
        <w:t xml:space="preserve"> </w:t>
      </w:r>
      <w:r>
        <w:t>patient</w:t>
      </w:r>
      <w:r>
        <w:rPr>
          <w:spacing w:val="-2"/>
        </w:rPr>
        <w:t xml:space="preserve"> </w:t>
      </w:r>
      <w:r>
        <w:t>and</w:t>
      </w:r>
      <w:r>
        <w:rPr>
          <w:spacing w:val="-3"/>
        </w:rPr>
        <w:t xml:space="preserve"> </w:t>
      </w:r>
      <w:r>
        <w:t>within</w:t>
      </w:r>
      <w:r>
        <w:rPr>
          <w:spacing w:val="-4"/>
        </w:rPr>
        <w:t xml:space="preserve"> </w:t>
      </w:r>
      <w:r>
        <w:t>the</w:t>
      </w:r>
      <w:r>
        <w:rPr>
          <w:spacing w:val="-4"/>
        </w:rPr>
        <w:t xml:space="preserve"> </w:t>
      </w:r>
      <w:r>
        <w:t>limits</w:t>
      </w:r>
      <w:r>
        <w:rPr>
          <w:spacing w:val="-4"/>
        </w:rPr>
        <w:t xml:space="preserve"> </w:t>
      </w:r>
      <w:r>
        <w:t>of</w:t>
      </w:r>
      <w:r>
        <w:rPr>
          <w:spacing w:val="-2"/>
        </w:rPr>
        <w:t xml:space="preserve"> </w:t>
      </w:r>
      <w:r>
        <w:t>their</w:t>
      </w:r>
      <w:r>
        <w:rPr>
          <w:spacing w:val="-7"/>
        </w:rPr>
        <w:t xml:space="preserve"> </w:t>
      </w:r>
      <w:r>
        <w:t>competence.</w:t>
      </w:r>
      <w:r>
        <w:rPr>
          <w:spacing w:val="-2"/>
        </w:rPr>
        <w:t xml:space="preserve"> </w:t>
      </w:r>
    </w:p>
    <w:p w14:paraId="2797AA8B" w14:textId="48334F76" w:rsidR="009B1CB1" w:rsidRPr="009B1CB1" w:rsidRDefault="009B1CB1" w:rsidP="002C3D42">
      <w:pPr>
        <w:pStyle w:val="ListParagraph"/>
      </w:pPr>
      <w:r>
        <w:t>The clinician should question any recommendation which is considered unsafe</w:t>
      </w:r>
    </w:p>
    <w:p w14:paraId="4F7DFCDC" w14:textId="0A7D0A25" w:rsidR="006D16A6" w:rsidRPr="00DB1923" w:rsidRDefault="006D16A6" w:rsidP="006D16A6">
      <w:pPr>
        <w:pStyle w:val="Heading2"/>
      </w:pPr>
      <w:bookmarkStart w:id="9" w:name="_Shared_care"/>
      <w:bookmarkStart w:id="10" w:name="_Hlk139547535"/>
      <w:bookmarkEnd w:id="9"/>
      <w:r>
        <w:t>Shared care</w:t>
      </w:r>
    </w:p>
    <w:bookmarkEnd w:id="10"/>
    <w:p w14:paraId="3660DB26" w14:textId="2BE171C7" w:rsidR="006B2258" w:rsidRPr="009B1CB1" w:rsidRDefault="006B2258" w:rsidP="00915EFC">
      <w:r w:rsidRPr="5D68A7B0">
        <w:rPr>
          <w:lang w:val="en-US"/>
        </w:rPr>
        <w:t>Due to the nature of the service commissioned by NHS England for GIS providers, p</w:t>
      </w:r>
      <w:proofErr w:type="spellStart"/>
      <w:r>
        <w:t>rimary</w:t>
      </w:r>
      <w:proofErr w:type="spellEnd"/>
      <w:r>
        <w:t xml:space="preserve"> care prescribers will, in the main, be asked to initiate treatment on written </w:t>
      </w:r>
      <w:r w:rsidRPr="00862A84">
        <w:t xml:space="preserve">recommendation from a specialist via a shared care protocol.  </w:t>
      </w:r>
      <w:r w:rsidRPr="00430FCE">
        <w:rPr>
          <w:b/>
          <w:bCs/>
        </w:rPr>
        <w:t xml:space="preserve">Initiation by primary care </w:t>
      </w:r>
      <w:r w:rsidRPr="00430FCE">
        <w:t>is supported by Surrey Heartlands</w:t>
      </w:r>
      <w:r w:rsidRPr="00430FCE">
        <w:rPr>
          <w:b/>
          <w:bCs/>
        </w:rPr>
        <w:t xml:space="preserve"> </w:t>
      </w:r>
      <w:r w:rsidRPr="00430FCE">
        <w:t>if the prescriber is competent to exercise</w:t>
      </w:r>
      <w:r w:rsidRPr="00862A84">
        <w:t xml:space="preserve"> their share of clinical responsibility and is assured that the shared care protocol provides enough information for them to discharge their responsibilities safely</w:t>
      </w:r>
      <w:r w:rsidR="009B1CB1" w:rsidRPr="009B1CB1">
        <w:rPr>
          <w:rFonts w:ascii="Aptos" w:hAnsi="Aptos" w:cs="Times New Roman"/>
          <w:color w:val="000000"/>
          <w:sz w:val="27"/>
          <w:szCs w:val="27"/>
        </w:rPr>
        <w:t xml:space="preserve"> </w:t>
      </w:r>
      <w:r w:rsidR="009B1CB1" w:rsidRPr="009B1CB1">
        <w:rPr>
          <w:color w:val="000000"/>
        </w:rPr>
        <w:t>(for example assurance that all the risks of treatment have been discussed with the patient and frequency of follow up is clearly indicated).</w:t>
      </w:r>
      <w:r w:rsidR="009B1CB1">
        <w:rPr>
          <w:color w:val="000000"/>
        </w:rPr>
        <w:t xml:space="preserve">  </w:t>
      </w:r>
    </w:p>
    <w:p w14:paraId="04BD3E31" w14:textId="2B92F597" w:rsidR="009B1CB1" w:rsidRDefault="009B1CB1" w:rsidP="00915EFC">
      <w:r w:rsidRPr="009B1CB1">
        <w:t xml:space="preserve">If the GP feels unable to accommodate the initial request to prescribe, it is suggested that contact is made with the requesting clinician to discuss further.  </w:t>
      </w:r>
      <w:r w:rsidR="006A7229">
        <w:rPr>
          <w:color w:val="000000"/>
        </w:rPr>
        <w:t>Q</w:t>
      </w:r>
      <w:r w:rsidR="006A7229" w:rsidRPr="009B1CB1">
        <w:rPr>
          <w:color w:val="000000"/>
        </w:rPr>
        <w:t xml:space="preserve">ueries </w:t>
      </w:r>
      <w:r w:rsidR="006A7229">
        <w:rPr>
          <w:color w:val="000000"/>
        </w:rPr>
        <w:t>should be raised with the GIS provider</w:t>
      </w:r>
      <w:r w:rsidR="006A7229" w:rsidRPr="009B1CB1">
        <w:rPr>
          <w:color w:val="000000"/>
        </w:rPr>
        <w:t xml:space="preserve"> in a timely manner </w:t>
      </w:r>
      <w:r w:rsidR="006A7229">
        <w:rPr>
          <w:color w:val="000000"/>
        </w:rPr>
        <w:t>for</w:t>
      </w:r>
      <w:r w:rsidR="006A7229" w:rsidRPr="009B1CB1">
        <w:rPr>
          <w:color w:val="000000"/>
        </w:rPr>
        <w:t xml:space="preserve"> assurance </w:t>
      </w:r>
      <w:r w:rsidR="006A7229">
        <w:rPr>
          <w:color w:val="000000"/>
        </w:rPr>
        <w:t>and action that benefits the patient</w:t>
      </w:r>
      <w:r w:rsidR="006A7229" w:rsidRPr="009B1CB1">
        <w:rPr>
          <w:color w:val="000000"/>
        </w:rPr>
        <w:t>.</w:t>
      </w:r>
      <w:r w:rsidR="006A7229">
        <w:rPr>
          <w:color w:val="000000"/>
        </w:rPr>
        <w:t xml:space="preserve">  </w:t>
      </w:r>
      <w:r w:rsidRPr="009B1CB1">
        <w:t xml:space="preserve">Under shared care arrangements, the responsibility to prescribe would usually sit with the service initiating therapy and requesting shared care, </w:t>
      </w:r>
      <w:r w:rsidRPr="00430FCE">
        <w:t>however the NHS commissioned GIS providers are not funded to routinely prescribe</w:t>
      </w:r>
      <w:r w:rsidR="001D6ECB" w:rsidRPr="00430FCE">
        <w:t xml:space="preserve"> but can do so if, after discussion between GP and Specialist</w:t>
      </w:r>
      <w:r w:rsidR="002F77F6" w:rsidRPr="00430FCE">
        <w:t>,</w:t>
      </w:r>
      <w:r w:rsidR="001D6ECB" w:rsidRPr="00430FCE">
        <w:t xml:space="preserve"> it is agreed that prescribing cannot be undertaken in primary care</w:t>
      </w:r>
      <w:r w:rsidRPr="00430FCE">
        <w:t>.</w:t>
      </w:r>
      <w:r>
        <w:t xml:space="preserve">  </w:t>
      </w:r>
    </w:p>
    <w:p w14:paraId="51D3374A" w14:textId="6DA3B1E8" w:rsidR="006B2258" w:rsidRPr="006B2258" w:rsidRDefault="006B2258" w:rsidP="006B2258">
      <w:pPr>
        <w:spacing w:after="0" w:line="240" w:lineRule="auto"/>
      </w:pPr>
      <w:r w:rsidRPr="006B2258">
        <w:t xml:space="preserve">NHSE commission gender identity services for adults from </w:t>
      </w:r>
      <w:r w:rsidR="004B26E5" w:rsidRPr="006B2258">
        <w:t>several</w:t>
      </w:r>
      <w:r w:rsidRPr="006B2258">
        <w:t xml:space="preserve"> sites across the UK.  London and SE provider of NHS adult gender identity services is </w:t>
      </w:r>
      <w:r w:rsidRPr="009E3E38">
        <w:rPr>
          <w:b/>
          <w:bCs/>
        </w:rPr>
        <w:t>Tavistock and Portman NHS Foundation Trust Gender Identity Clinic</w:t>
      </w:r>
      <w:r w:rsidRPr="006B2258">
        <w:t xml:space="preserve">.  </w:t>
      </w:r>
      <w:r w:rsidRPr="002F77F6">
        <w:t>Resources</w:t>
      </w:r>
      <w:r w:rsidRPr="006B2258">
        <w:t xml:space="preserve"> for healthcare professionals are available </w:t>
      </w:r>
      <w:r w:rsidR="004B26E5">
        <w:t>on their website</w:t>
      </w:r>
      <w:r w:rsidR="009E3E38">
        <w:t xml:space="preserve"> here</w:t>
      </w:r>
      <w:r w:rsidR="002F77F6">
        <w:t xml:space="preserve"> </w:t>
      </w:r>
      <w:bookmarkStart w:id="11" w:name="_Hlk153380881"/>
      <w:r w:rsidR="002F77F6">
        <w:fldChar w:fldCharType="begin"/>
      </w:r>
      <w:r w:rsidR="002F77F6">
        <w:instrText>HYPERLINK "https://gic.nhs.uk/gp-support/shared-care-protocols/"</w:instrText>
      </w:r>
      <w:r w:rsidR="002F77F6">
        <w:fldChar w:fldCharType="separate"/>
      </w:r>
      <w:r w:rsidR="002F77F6">
        <w:rPr>
          <w:rStyle w:val="Hyperlink"/>
        </w:rPr>
        <w:t>Clinical information and guidance for hormone therapy - Gender Identity Clinic – GIC</w:t>
      </w:r>
      <w:r w:rsidR="002F77F6">
        <w:fldChar w:fldCharType="end"/>
      </w:r>
      <w:r w:rsidR="009E3E38">
        <w:t xml:space="preserve"> </w:t>
      </w:r>
      <w:bookmarkEnd w:id="11"/>
      <w:r w:rsidRPr="006B2258">
        <w:t>and include:</w:t>
      </w:r>
    </w:p>
    <w:p w14:paraId="2EFD0533" w14:textId="77777777" w:rsidR="006B2258" w:rsidRPr="006B2258" w:rsidRDefault="006B2258" w:rsidP="006B2258">
      <w:pPr>
        <w:pStyle w:val="ListParagraph"/>
        <w:numPr>
          <w:ilvl w:val="0"/>
          <w:numId w:val="13"/>
        </w:numPr>
        <w:spacing w:before="0" w:after="0" w:line="240" w:lineRule="auto"/>
      </w:pPr>
      <w:r w:rsidRPr="006B2258">
        <w:t>Shared care prescribing guidance</w:t>
      </w:r>
    </w:p>
    <w:p w14:paraId="3BBD3DE9" w14:textId="77777777" w:rsidR="006B2258" w:rsidRPr="006B2258" w:rsidRDefault="006B2258" w:rsidP="006B2258">
      <w:pPr>
        <w:pStyle w:val="ListParagraph"/>
        <w:numPr>
          <w:ilvl w:val="0"/>
          <w:numId w:val="13"/>
        </w:numPr>
        <w:spacing w:before="0" w:after="0" w:line="240" w:lineRule="auto"/>
      </w:pPr>
      <w:r w:rsidRPr="006B2258">
        <w:t>Ongoing hormone monitoring and management information</w:t>
      </w:r>
    </w:p>
    <w:p w14:paraId="65FCD8F4" w14:textId="77777777" w:rsidR="006B2258" w:rsidRPr="006B2258" w:rsidRDefault="006B2258" w:rsidP="006B2258">
      <w:pPr>
        <w:pStyle w:val="ListParagraph"/>
        <w:numPr>
          <w:ilvl w:val="0"/>
          <w:numId w:val="13"/>
        </w:numPr>
        <w:spacing w:before="0" w:after="0" w:line="240" w:lineRule="auto"/>
      </w:pPr>
      <w:r w:rsidRPr="006B2258">
        <w:t>Post-discharge hormone management</w:t>
      </w:r>
    </w:p>
    <w:p w14:paraId="301BE328" w14:textId="77777777" w:rsidR="006B2258" w:rsidRPr="006B2258" w:rsidRDefault="006B2258" w:rsidP="006B2258">
      <w:pPr>
        <w:pStyle w:val="ListParagraph"/>
        <w:numPr>
          <w:ilvl w:val="0"/>
          <w:numId w:val="13"/>
        </w:numPr>
        <w:spacing w:before="0" w:after="0" w:line="240" w:lineRule="auto"/>
      </w:pPr>
      <w:r w:rsidRPr="006B2258">
        <w:t>Patient information booklets</w:t>
      </w:r>
    </w:p>
    <w:p w14:paraId="03D331A1" w14:textId="77777777" w:rsidR="003344C9" w:rsidRDefault="003344C9" w:rsidP="004B26E5"/>
    <w:p w14:paraId="4884FD54" w14:textId="77777777" w:rsidR="003344C9" w:rsidRDefault="003344C9" w:rsidP="004B26E5"/>
    <w:p w14:paraId="4CC6EDD6" w14:textId="6870C00F" w:rsidR="002C3D42" w:rsidRPr="00862A84" w:rsidRDefault="002C3D42" w:rsidP="004B26E5">
      <w:r w:rsidRPr="00862A84">
        <w:t>Other centres currently commissioned for adults are:</w:t>
      </w:r>
    </w:p>
    <w:p w14:paraId="076C7F2F" w14:textId="6FC400B2" w:rsidR="000F622D" w:rsidRPr="00862A84" w:rsidRDefault="002C3D42" w:rsidP="002C3D42">
      <w:pPr>
        <w:pStyle w:val="ListParagraph"/>
        <w:numPr>
          <w:ilvl w:val="0"/>
          <w:numId w:val="13"/>
        </w:numPr>
        <w:spacing w:before="0" w:after="0" w:line="240" w:lineRule="auto"/>
      </w:pPr>
      <w:r w:rsidRPr="00862A84">
        <w:rPr>
          <w:b/>
          <w:bCs/>
        </w:rPr>
        <w:t>Sheffield Health and Social Care NHS Foundation Trust</w:t>
      </w:r>
      <w:r w:rsidRPr="00862A84">
        <w:t xml:space="preserve"> </w:t>
      </w:r>
      <w:hyperlink r:id="rId11" w:history="1">
        <w:r w:rsidR="000F622D" w:rsidRPr="00862A84">
          <w:rPr>
            <w:rStyle w:val="Hyperlink"/>
          </w:rPr>
          <w:t>Information for GPs | Sheffield Health and Social Care (shsc.nhs.uk)</w:t>
        </w:r>
      </w:hyperlink>
    </w:p>
    <w:p w14:paraId="119EEAE6" w14:textId="3DF5C219" w:rsidR="002C3D42" w:rsidRPr="00862A84" w:rsidRDefault="000F622D" w:rsidP="002C3D42">
      <w:pPr>
        <w:pStyle w:val="ListParagraph"/>
        <w:numPr>
          <w:ilvl w:val="0"/>
          <w:numId w:val="13"/>
        </w:numPr>
        <w:spacing w:before="0" w:after="0" w:line="240" w:lineRule="auto"/>
      </w:pPr>
      <w:r w:rsidRPr="00862A84">
        <w:rPr>
          <w:b/>
          <w:bCs/>
        </w:rPr>
        <w:t>Leeds and York Partnership NHS Foundation Trust</w:t>
      </w:r>
      <w:r w:rsidR="00C00FC1" w:rsidRPr="00862A84">
        <w:rPr>
          <w:b/>
          <w:bCs/>
        </w:rPr>
        <w:t xml:space="preserve"> </w:t>
      </w:r>
      <w:hyperlink r:id="rId12" w:history="1">
        <w:r w:rsidRPr="00862A84">
          <w:rPr>
            <w:rStyle w:val="Hyperlink"/>
          </w:rPr>
          <w:t>Leeds and York Partnership NHS Foundation Trust -Gender Identity Service (leedsandyorkpft.nhs.uk)</w:t>
        </w:r>
      </w:hyperlink>
    </w:p>
    <w:p w14:paraId="58A08532" w14:textId="755931DC" w:rsidR="000F622D" w:rsidRPr="00862A84" w:rsidRDefault="000F622D" w:rsidP="002C3D42">
      <w:pPr>
        <w:pStyle w:val="ListParagraph"/>
        <w:numPr>
          <w:ilvl w:val="0"/>
          <w:numId w:val="13"/>
        </w:numPr>
        <w:spacing w:before="0" w:after="0" w:line="240" w:lineRule="auto"/>
      </w:pPr>
      <w:r w:rsidRPr="00862A84">
        <w:rPr>
          <w:b/>
          <w:bCs/>
        </w:rPr>
        <w:t xml:space="preserve">Cumbria, Northumberland, Tyne and Wear NHS Foundation Trust </w:t>
      </w:r>
      <w:hyperlink r:id="rId13" w:history="1">
        <w:r w:rsidR="00F60902" w:rsidRPr="00862A84">
          <w:rPr>
            <w:rStyle w:val="Hyperlink"/>
          </w:rPr>
          <w:t>Information for professionals - Cumbria, Northumberland, Tyne and Wear NHS Foundation Trust (cntw.nhs.uk)</w:t>
        </w:r>
      </w:hyperlink>
    </w:p>
    <w:p w14:paraId="2A86161A" w14:textId="2B6A59AC" w:rsidR="000F622D" w:rsidRPr="00862A84" w:rsidRDefault="000F622D" w:rsidP="002C3D42">
      <w:pPr>
        <w:pStyle w:val="ListParagraph"/>
        <w:numPr>
          <w:ilvl w:val="0"/>
          <w:numId w:val="13"/>
        </w:numPr>
        <w:spacing w:before="0" w:after="0" w:line="240" w:lineRule="auto"/>
      </w:pPr>
      <w:r w:rsidRPr="00862A84">
        <w:rPr>
          <w:b/>
          <w:bCs/>
        </w:rPr>
        <w:t xml:space="preserve">Northamptonshire Healthcare NHS Foundation Trust </w:t>
      </w:r>
      <w:hyperlink r:id="rId14" w:history="1">
        <w:r w:rsidR="00F60902" w:rsidRPr="00862A84">
          <w:rPr>
            <w:rStyle w:val="Hyperlink"/>
          </w:rPr>
          <w:t>Gender Identity Clinic | NHFT</w:t>
        </w:r>
      </w:hyperlink>
    </w:p>
    <w:p w14:paraId="0E177DF6" w14:textId="79FFD3D5" w:rsidR="000F622D" w:rsidRPr="00862A84" w:rsidRDefault="000F622D" w:rsidP="002C3D42">
      <w:pPr>
        <w:pStyle w:val="ListParagraph"/>
        <w:numPr>
          <w:ilvl w:val="0"/>
          <w:numId w:val="13"/>
        </w:numPr>
        <w:spacing w:before="0" w:after="0" w:line="240" w:lineRule="auto"/>
      </w:pPr>
      <w:r w:rsidRPr="00862A84">
        <w:rPr>
          <w:b/>
          <w:bCs/>
        </w:rPr>
        <w:t xml:space="preserve">Nottinghamshire Healthcare NHS Foundation Trust </w:t>
      </w:r>
      <w:hyperlink r:id="rId15" w:history="1">
        <w:r w:rsidR="00F60902" w:rsidRPr="00862A84">
          <w:rPr>
            <w:rStyle w:val="Hyperlink"/>
          </w:rPr>
          <w:t>Treatments offered | Transgender (ncth.nhs.uk)</w:t>
        </w:r>
      </w:hyperlink>
    </w:p>
    <w:p w14:paraId="357B1F4D" w14:textId="13096C99" w:rsidR="002C3D42" w:rsidRPr="00862A84" w:rsidRDefault="000F622D" w:rsidP="004B26E5">
      <w:pPr>
        <w:pStyle w:val="ListParagraph"/>
        <w:numPr>
          <w:ilvl w:val="0"/>
          <w:numId w:val="13"/>
        </w:numPr>
        <w:spacing w:before="0" w:after="0" w:line="240" w:lineRule="auto"/>
      </w:pPr>
      <w:r w:rsidRPr="00862A84">
        <w:rPr>
          <w:b/>
          <w:bCs/>
        </w:rPr>
        <w:t xml:space="preserve">Devon Partnership NHS Trust </w:t>
      </w:r>
      <w:hyperlink r:id="rId16" w:history="1">
        <w:r w:rsidR="00C00FC1" w:rsidRPr="00862A84">
          <w:rPr>
            <w:rStyle w:val="Hyperlink"/>
          </w:rPr>
          <w:t>For GPs and professionals | DPT</w:t>
        </w:r>
      </w:hyperlink>
    </w:p>
    <w:p w14:paraId="18BFF80A" w14:textId="3387242C" w:rsidR="00B756A4" w:rsidRPr="003D137B" w:rsidRDefault="00B756A4" w:rsidP="00B756A4">
      <w:r w:rsidRPr="00862A84">
        <w:t>In the absence of a nation</w:t>
      </w:r>
      <w:r w:rsidR="00244E6A">
        <w:t>al</w:t>
      </w:r>
      <w:r w:rsidRPr="00862A84">
        <w:t xml:space="preserve"> shared care protocol, each site will have its own documentation that should be provided with each patient.  Under the assumption that most Surrey Heartlands patients will be seen by The Tavistock &amp; Portman site, it </w:t>
      </w:r>
      <w:r w:rsidRPr="003D137B">
        <w:t xml:space="preserve">should </w:t>
      </w:r>
      <w:r w:rsidR="00DE53F8" w:rsidRPr="003D137B">
        <w:t xml:space="preserve">be </w:t>
      </w:r>
      <w:r w:rsidRPr="003D137B">
        <w:t>noted from their shared care that:</w:t>
      </w:r>
    </w:p>
    <w:p w14:paraId="605A9F2F" w14:textId="5185B396" w:rsidR="00B756A4" w:rsidRPr="003D137B" w:rsidRDefault="00B756A4" w:rsidP="00B756A4">
      <w:pPr>
        <w:pStyle w:val="ListParagraph"/>
        <w:numPr>
          <w:ilvl w:val="0"/>
          <w:numId w:val="13"/>
        </w:numPr>
        <w:spacing w:before="0" w:after="0" w:line="240" w:lineRule="auto"/>
      </w:pPr>
      <w:r w:rsidRPr="003D137B">
        <w:t xml:space="preserve">The minimum frequency of follow up by the specialist service is not specified – </w:t>
      </w:r>
      <w:r w:rsidR="00870B8D" w:rsidRPr="003D137B">
        <w:t xml:space="preserve">it is advisable to check that follow up has been arranged from the individual care plan or clinic letter.  </w:t>
      </w:r>
      <w:r w:rsidRPr="003D137B">
        <w:t xml:space="preserve">NHS England require a minimum </w:t>
      </w:r>
      <w:r w:rsidR="00870B8D" w:rsidRPr="003D137B">
        <w:t>o</w:t>
      </w:r>
      <w:r w:rsidRPr="003D137B">
        <w:t>f every 12 months</w:t>
      </w:r>
      <w:r w:rsidR="00870B8D" w:rsidRPr="003D137B">
        <w:t>.</w:t>
      </w:r>
    </w:p>
    <w:p w14:paraId="46F4123C" w14:textId="03837A70" w:rsidR="00886355" w:rsidRPr="003D137B" w:rsidRDefault="00B756A4" w:rsidP="00B756A4">
      <w:pPr>
        <w:pStyle w:val="ListParagraph"/>
        <w:numPr>
          <w:ilvl w:val="0"/>
          <w:numId w:val="13"/>
        </w:numPr>
        <w:spacing w:before="0" w:after="0" w:line="240" w:lineRule="auto"/>
      </w:pPr>
      <w:r w:rsidRPr="003D137B">
        <w:t>Inclusion of ability to discharge a patient from the service</w:t>
      </w:r>
      <w:r w:rsidR="00886355" w:rsidRPr="003D137B">
        <w:t xml:space="preserve"> – this is allowed under the NHSE service specification but does not then strictly adhere to the understanding of what shared care is</w:t>
      </w:r>
      <w:r w:rsidR="0045737D" w:rsidRPr="003D137B">
        <w:t xml:space="preserve"> and </w:t>
      </w:r>
      <w:r w:rsidR="00FF6173" w:rsidRPr="003D137B">
        <w:t>may</w:t>
      </w:r>
      <w:r w:rsidR="0045737D" w:rsidRPr="003D137B">
        <w:t xml:space="preserve"> result in no specialist follow up at some point</w:t>
      </w:r>
      <w:r w:rsidR="00870B8D" w:rsidRPr="003D137B">
        <w:t>.</w:t>
      </w:r>
    </w:p>
    <w:p w14:paraId="2FE911A6" w14:textId="2EB4044A" w:rsidR="00886355" w:rsidRPr="003D137B" w:rsidRDefault="00DE53F8" w:rsidP="00B756A4">
      <w:pPr>
        <w:pStyle w:val="ListParagraph"/>
        <w:numPr>
          <w:ilvl w:val="0"/>
          <w:numId w:val="13"/>
        </w:numPr>
        <w:spacing w:before="0" w:after="0" w:line="240" w:lineRule="auto"/>
      </w:pPr>
      <w:r w:rsidRPr="003D137B">
        <w:t xml:space="preserve">On occasion a </w:t>
      </w:r>
      <w:r w:rsidR="00886355" w:rsidRPr="003D137B">
        <w:t>GP</w:t>
      </w:r>
      <w:r w:rsidRPr="003D137B">
        <w:t xml:space="preserve"> maybe asked to </w:t>
      </w:r>
      <w:r w:rsidR="00357CAF" w:rsidRPr="003D137B">
        <w:t xml:space="preserve">order a </w:t>
      </w:r>
      <w:r w:rsidR="00886355" w:rsidRPr="003D137B">
        <w:t>DEXA scan</w:t>
      </w:r>
      <w:r w:rsidR="00357CAF" w:rsidRPr="003D137B">
        <w:t xml:space="preserve"> which are not routinely performed under GMS contracts – in the first instance it is suggested that contact is made with the Specialist to refer directly for DEXA</w:t>
      </w:r>
    </w:p>
    <w:p w14:paraId="343D7B35" w14:textId="09ECAB41" w:rsidR="00357CAF" w:rsidRPr="003D137B" w:rsidRDefault="00886355" w:rsidP="00357CAF">
      <w:pPr>
        <w:pStyle w:val="ListParagraph"/>
        <w:numPr>
          <w:ilvl w:val="0"/>
          <w:numId w:val="13"/>
        </w:numPr>
        <w:spacing w:before="0" w:after="0" w:line="240" w:lineRule="auto"/>
      </w:pPr>
      <w:r w:rsidRPr="003D137B">
        <w:t xml:space="preserve">Appears to </w:t>
      </w:r>
      <w:r w:rsidR="00357CAF" w:rsidRPr="003D137B">
        <w:t xml:space="preserve">minimise </w:t>
      </w:r>
      <w:r w:rsidRPr="003D137B">
        <w:t xml:space="preserve">the risks associated with the drugs </w:t>
      </w:r>
      <w:r w:rsidR="00193D80" w:rsidRPr="003D137B">
        <w:t xml:space="preserve">and the patient consent letter indicates that no discussion of risk with GP is wanted – risk of GP breaching GMC guidance. </w:t>
      </w:r>
      <w:r w:rsidR="00357CAF" w:rsidRPr="003D137B">
        <w:t xml:space="preserve"> </w:t>
      </w:r>
      <w:r w:rsidR="00193D80" w:rsidRPr="003D137B">
        <w:t>F</w:t>
      </w:r>
      <w:r w:rsidR="00357CAF" w:rsidRPr="003D137B">
        <w:t xml:space="preserve">or patient friendly advice on risk see </w:t>
      </w:r>
      <w:hyperlink r:id="rId17" w:history="1">
        <w:r w:rsidR="00357CAF" w:rsidRPr="003D137B">
          <w:rPr>
            <w:rStyle w:val="Hyperlink"/>
          </w:rPr>
          <w:t>Gender dysphoria - Treatment - NHS (www.nhs.uk)</w:t>
        </w:r>
      </w:hyperlink>
    </w:p>
    <w:p w14:paraId="013AD5BE" w14:textId="52602B0A" w:rsidR="004B26E5" w:rsidRDefault="00B756A4" w:rsidP="004B26E5">
      <w:r w:rsidRPr="00862A84">
        <w:t>After consideration, i</w:t>
      </w:r>
      <w:r w:rsidR="004B26E5" w:rsidRPr="00862A84">
        <w:t>f a GP concludes that they are unable to accept responsibility</w:t>
      </w:r>
      <w:r w:rsidR="004B26E5">
        <w:t xml:space="preserve"> for prescribing and monitoring, and if concerned that declining involvement will pose a significant clinical risk, consideration must be given as to how to enable the patient to receive appropriate support and treatment funded by the NHS. If the patient is distressed, or the GP believes them to be at risk from self-harm, the GP should offer them support and consider the need for referral to an NHS commissioned specialised Gender Identity Clinic or to local mental health services as appropriate.</w:t>
      </w:r>
    </w:p>
    <w:p w14:paraId="02704738" w14:textId="77777777" w:rsidR="003344C9" w:rsidRDefault="003344C9">
      <w:pPr>
        <w:spacing w:before="0" w:after="0" w:line="240" w:lineRule="auto"/>
        <w:rPr>
          <w:rFonts w:eastAsiaTheme="majorEastAsia"/>
          <w:b/>
          <w:bCs/>
          <w:color w:val="18AFC3" w:themeColor="accent2"/>
          <w:sz w:val="32"/>
          <w:szCs w:val="32"/>
        </w:rPr>
      </w:pPr>
      <w:bookmarkStart w:id="12" w:name="_On-going_care"/>
      <w:bookmarkStart w:id="13" w:name="_Hlk139547593"/>
      <w:bookmarkEnd w:id="12"/>
      <w:r>
        <w:br w:type="page"/>
      </w:r>
    </w:p>
    <w:p w14:paraId="5B1D8693" w14:textId="188005EE" w:rsidR="004B26E5" w:rsidRPr="004B26E5" w:rsidRDefault="004B26E5" w:rsidP="004B26E5">
      <w:pPr>
        <w:pStyle w:val="Heading2"/>
      </w:pPr>
      <w:r>
        <w:t>On-going care</w:t>
      </w:r>
    </w:p>
    <w:bookmarkEnd w:id="13"/>
    <w:p w14:paraId="7E28DC3D" w14:textId="529FE4E8" w:rsidR="00915EFC" w:rsidRDefault="00915EFC" w:rsidP="00915EFC">
      <w:pPr>
        <w:rPr>
          <w:lang w:val="en-US"/>
        </w:rPr>
      </w:pPr>
      <w:r w:rsidRPr="00915EFC">
        <w:rPr>
          <w:lang w:val="en-US"/>
        </w:rPr>
        <w:t>It is imperative that clients who take the preparations under medical supervision are monitored as recommended. We recommend a documented annual review where the prescriber should</w:t>
      </w:r>
      <w:r>
        <w:rPr>
          <w:lang w:val="en-US"/>
        </w:rPr>
        <w:t>:</w:t>
      </w:r>
    </w:p>
    <w:p w14:paraId="35C87D7D" w14:textId="77777777" w:rsidR="00915EFC" w:rsidRDefault="00915EFC" w:rsidP="00915EFC">
      <w:pPr>
        <w:pStyle w:val="ListParagraph"/>
      </w:pPr>
      <w:r w:rsidRPr="00915EFC">
        <w:t>Review prescribing and results from monitoring</w:t>
      </w:r>
    </w:p>
    <w:p w14:paraId="36CA3BE3" w14:textId="29038400" w:rsidR="00915EFC" w:rsidRDefault="00915EFC" w:rsidP="00915EFC">
      <w:pPr>
        <w:pStyle w:val="ListParagraph"/>
      </w:pPr>
      <w:r>
        <w:t>Check that the person remains in touch with their specialist, in line with shared care recommendations.</w:t>
      </w:r>
      <w:r>
        <w:rPr>
          <w:spacing w:val="-5"/>
        </w:rPr>
        <w:t xml:space="preserve"> </w:t>
      </w:r>
      <w:r w:rsidR="006D16A6">
        <w:rPr>
          <w:spacing w:val="-5"/>
        </w:rPr>
        <w:t xml:space="preserve"> </w:t>
      </w:r>
      <w:r>
        <w:t>Prescribers</w:t>
      </w:r>
      <w:r>
        <w:rPr>
          <w:spacing w:val="-2"/>
        </w:rPr>
        <w:t xml:space="preserve"> </w:t>
      </w:r>
      <w:r>
        <w:t>may</w:t>
      </w:r>
      <w:r>
        <w:rPr>
          <w:spacing w:val="-4"/>
        </w:rPr>
        <w:t xml:space="preserve"> </w:t>
      </w:r>
      <w:r>
        <w:t>wish</w:t>
      </w:r>
      <w:r>
        <w:rPr>
          <w:spacing w:val="-2"/>
        </w:rPr>
        <w:t xml:space="preserve"> </w:t>
      </w:r>
      <w:r>
        <w:t>to</w:t>
      </w:r>
      <w:r>
        <w:rPr>
          <w:spacing w:val="-1"/>
        </w:rPr>
        <w:t xml:space="preserve"> </w:t>
      </w:r>
      <w:r>
        <w:t>return</w:t>
      </w:r>
      <w:r>
        <w:rPr>
          <w:spacing w:val="-3"/>
        </w:rPr>
        <w:t xml:space="preserve"> </w:t>
      </w:r>
      <w:r>
        <w:t>prescribing</w:t>
      </w:r>
      <w:r>
        <w:rPr>
          <w:spacing w:val="-3"/>
        </w:rPr>
        <w:t xml:space="preserve"> </w:t>
      </w:r>
      <w:r>
        <w:t>to</w:t>
      </w:r>
      <w:r>
        <w:rPr>
          <w:spacing w:val="-4"/>
        </w:rPr>
        <w:t xml:space="preserve"> </w:t>
      </w:r>
      <w:r>
        <w:t>the</w:t>
      </w:r>
      <w:r>
        <w:rPr>
          <w:spacing w:val="-4"/>
        </w:rPr>
        <w:t xml:space="preserve"> </w:t>
      </w:r>
      <w:r>
        <w:t>specialist</w:t>
      </w:r>
      <w:r>
        <w:rPr>
          <w:spacing w:val="-2"/>
        </w:rPr>
        <w:t xml:space="preserve"> </w:t>
      </w:r>
      <w:r>
        <w:t>if</w:t>
      </w:r>
      <w:r>
        <w:rPr>
          <w:spacing w:val="-5"/>
        </w:rPr>
        <w:t xml:space="preserve"> </w:t>
      </w:r>
      <w:r>
        <w:t>this</w:t>
      </w:r>
      <w:r>
        <w:rPr>
          <w:spacing w:val="-2"/>
        </w:rPr>
        <w:t xml:space="preserve"> </w:t>
      </w:r>
      <w:r>
        <w:t>contact</w:t>
      </w:r>
      <w:r>
        <w:rPr>
          <w:spacing w:val="-4"/>
        </w:rPr>
        <w:t xml:space="preserve"> </w:t>
      </w:r>
      <w:r>
        <w:t>is recommended but has ceased.</w:t>
      </w:r>
    </w:p>
    <w:p w14:paraId="07683FAC" w14:textId="06EBC633" w:rsidR="00915EFC" w:rsidRDefault="00915EFC" w:rsidP="00915EFC">
      <w:pPr>
        <w:pStyle w:val="ListParagraph"/>
      </w:pPr>
      <w:r>
        <w:t>Good</w:t>
      </w:r>
      <w:r>
        <w:rPr>
          <w:spacing w:val="-6"/>
        </w:rPr>
        <w:t xml:space="preserve"> </w:t>
      </w:r>
      <w:r>
        <w:t>quality</w:t>
      </w:r>
      <w:r>
        <w:rPr>
          <w:spacing w:val="-1"/>
        </w:rPr>
        <w:t xml:space="preserve"> </w:t>
      </w:r>
      <w:r>
        <w:t>data</w:t>
      </w:r>
      <w:r>
        <w:rPr>
          <w:spacing w:val="-2"/>
        </w:rPr>
        <w:t xml:space="preserve"> </w:t>
      </w:r>
      <w:r>
        <w:t>regarding</w:t>
      </w:r>
      <w:r>
        <w:rPr>
          <w:spacing w:val="-3"/>
        </w:rPr>
        <w:t xml:space="preserve"> </w:t>
      </w:r>
      <w:r>
        <w:t>long</w:t>
      </w:r>
      <w:r>
        <w:rPr>
          <w:spacing w:val="-3"/>
        </w:rPr>
        <w:t xml:space="preserve"> </w:t>
      </w:r>
      <w:r>
        <w:t>term</w:t>
      </w:r>
      <w:r>
        <w:rPr>
          <w:spacing w:val="-3"/>
        </w:rPr>
        <w:t xml:space="preserve"> </w:t>
      </w:r>
      <w:r>
        <w:t>clinical</w:t>
      </w:r>
      <w:r>
        <w:rPr>
          <w:spacing w:val="-3"/>
        </w:rPr>
        <w:t xml:space="preserve"> </w:t>
      </w:r>
      <w:r>
        <w:t>and</w:t>
      </w:r>
      <w:r>
        <w:rPr>
          <w:spacing w:val="-4"/>
        </w:rPr>
        <w:t xml:space="preserve"> </w:t>
      </w:r>
      <w:r>
        <w:t>psychological</w:t>
      </w:r>
      <w:r>
        <w:rPr>
          <w:spacing w:val="-5"/>
        </w:rPr>
        <w:t xml:space="preserve"> </w:t>
      </w:r>
      <w:r>
        <w:t>effects</w:t>
      </w:r>
      <w:r>
        <w:rPr>
          <w:spacing w:val="-4"/>
        </w:rPr>
        <w:t xml:space="preserve"> </w:t>
      </w:r>
      <w:r>
        <w:t>of</w:t>
      </w:r>
      <w:r>
        <w:rPr>
          <w:spacing w:val="-4"/>
        </w:rPr>
        <w:t xml:space="preserve"> </w:t>
      </w:r>
      <w:r>
        <w:t>“off</w:t>
      </w:r>
      <w:r>
        <w:rPr>
          <w:spacing w:val="-2"/>
        </w:rPr>
        <w:t xml:space="preserve"> </w:t>
      </w:r>
      <w:r>
        <w:t>label”</w:t>
      </w:r>
      <w:r>
        <w:rPr>
          <w:spacing w:val="-1"/>
        </w:rPr>
        <w:t xml:space="preserve"> </w:t>
      </w:r>
      <w:r>
        <w:t>prescribing</w:t>
      </w:r>
      <w:r>
        <w:rPr>
          <w:spacing w:val="-3"/>
        </w:rPr>
        <w:t xml:space="preserve"> </w:t>
      </w:r>
      <w:r>
        <w:t>of licensed medicines used for Gender Dysphoria is sparse.</w:t>
      </w:r>
      <w:r w:rsidR="006D16A6">
        <w:t xml:space="preserve"> </w:t>
      </w:r>
      <w:r>
        <w:t xml:space="preserve"> Discuss benefits vs risks of treatment regarding</w:t>
      </w:r>
      <w:r>
        <w:rPr>
          <w:spacing w:val="-1"/>
        </w:rPr>
        <w:t xml:space="preserve"> </w:t>
      </w:r>
      <w:r>
        <w:t>long</w:t>
      </w:r>
      <w:r>
        <w:rPr>
          <w:spacing w:val="-1"/>
        </w:rPr>
        <w:t xml:space="preserve"> </w:t>
      </w:r>
      <w:r>
        <w:t>term use, particularly</w:t>
      </w:r>
      <w:r>
        <w:rPr>
          <w:spacing w:val="-2"/>
        </w:rPr>
        <w:t xml:space="preserve"> </w:t>
      </w:r>
      <w:r>
        <w:t>with respect</w:t>
      </w:r>
      <w:r>
        <w:rPr>
          <w:spacing w:val="-2"/>
        </w:rPr>
        <w:t xml:space="preserve"> </w:t>
      </w:r>
      <w:r>
        <w:t>to</w:t>
      </w:r>
      <w:r>
        <w:rPr>
          <w:spacing w:val="-1"/>
        </w:rPr>
        <w:t xml:space="preserve"> </w:t>
      </w:r>
      <w:r>
        <w:t>psychological</w:t>
      </w:r>
      <w:r>
        <w:rPr>
          <w:spacing w:val="-3"/>
        </w:rPr>
        <w:t xml:space="preserve"> </w:t>
      </w:r>
      <w:r>
        <w:t>outcomes</w:t>
      </w:r>
      <w:r>
        <w:rPr>
          <w:spacing w:val="-2"/>
        </w:rPr>
        <w:t xml:space="preserve"> </w:t>
      </w:r>
      <w:r>
        <w:t>and</w:t>
      </w:r>
      <w:r>
        <w:rPr>
          <w:spacing w:val="-1"/>
        </w:rPr>
        <w:t xml:space="preserve"> </w:t>
      </w:r>
      <w:r>
        <w:t>clinical</w:t>
      </w:r>
      <w:r>
        <w:rPr>
          <w:spacing w:val="-1"/>
        </w:rPr>
        <w:t xml:space="preserve"> </w:t>
      </w:r>
      <w:r>
        <w:t>outcomes such as effects on fertility, cancer, endocrine or cardiovascular disease in the future.</w:t>
      </w:r>
    </w:p>
    <w:p w14:paraId="33E1F920" w14:textId="1ADB4417" w:rsidR="00915EFC" w:rsidRDefault="00915EFC" w:rsidP="00915EFC">
      <w:pPr>
        <w:pStyle w:val="ListParagraph"/>
      </w:pPr>
      <w:r>
        <w:t>Highlight the importance of national screening/testing/advice linked to biological gender such as breast</w:t>
      </w:r>
      <w:r>
        <w:rPr>
          <w:spacing w:val="-1"/>
        </w:rPr>
        <w:t xml:space="preserve"> </w:t>
      </w:r>
      <w:r>
        <w:t>screening,</w:t>
      </w:r>
      <w:r>
        <w:rPr>
          <w:spacing w:val="-4"/>
        </w:rPr>
        <w:t xml:space="preserve"> </w:t>
      </w:r>
      <w:r>
        <w:t>measurement</w:t>
      </w:r>
      <w:r>
        <w:rPr>
          <w:spacing w:val="-5"/>
        </w:rPr>
        <w:t xml:space="preserve"> </w:t>
      </w:r>
      <w:r>
        <w:t>of</w:t>
      </w:r>
      <w:r>
        <w:rPr>
          <w:spacing w:val="-3"/>
        </w:rPr>
        <w:t xml:space="preserve"> </w:t>
      </w:r>
      <w:r>
        <w:t>PSA,</w:t>
      </w:r>
      <w:r>
        <w:rPr>
          <w:spacing w:val="-4"/>
        </w:rPr>
        <w:t xml:space="preserve"> </w:t>
      </w:r>
      <w:r>
        <w:t>cervical</w:t>
      </w:r>
      <w:r>
        <w:rPr>
          <w:spacing w:val="-3"/>
        </w:rPr>
        <w:t xml:space="preserve"> </w:t>
      </w:r>
      <w:r>
        <w:t>smears</w:t>
      </w:r>
      <w:r>
        <w:rPr>
          <w:spacing w:val="-2"/>
        </w:rPr>
        <w:t xml:space="preserve"> </w:t>
      </w:r>
      <w:r>
        <w:t>etc</w:t>
      </w:r>
      <w:r>
        <w:rPr>
          <w:spacing w:val="-4"/>
        </w:rPr>
        <w:t xml:space="preserve"> </w:t>
      </w:r>
      <w:r>
        <w:t>as</w:t>
      </w:r>
      <w:r>
        <w:rPr>
          <w:spacing w:val="-2"/>
        </w:rPr>
        <w:t xml:space="preserve"> </w:t>
      </w:r>
      <w:r>
        <w:t>appropriate.</w:t>
      </w:r>
      <w:r>
        <w:rPr>
          <w:spacing w:val="-5"/>
        </w:rPr>
        <w:t xml:space="preserve"> </w:t>
      </w:r>
      <w:r w:rsidR="006D16A6">
        <w:rPr>
          <w:spacing w:val="-5"/>
        </w:rPr>
        <w:t xml:space="preserve"> </w:t>
      </w:r>
      <w:r>
        <w:t>The</w:t>
      </w:r>
      <w:r>
        <w:rPr>
          <w:spacing w:val="-2"/>
        </w:rPr>
        <w:t xml:space="preserve"> </w:t>
      </w:r>
      <w:r>
        <w:t>annotation</w:t>
      </w:r>
      <w:r>
        <w:rPr>
          <w:spacing w:val="-3"/>
        </w:rPr>
        <w:t xml:space="preserve"> </w:t>
      </w:r>
      <w:r>
        <w:t>of</w:t>
      </w:r>
      <w:r>
        <w:rPr>
          <w:spacing w:val="-5"/>
        </w:rPr>
        <w:t xml:space="preserve"> </w:t>
      </w:r>
      <w:r>
        <w:t>records should be discussed as appropriate</w:t>
      </w:r>
      <w:r w:rsidR="006D16A6">
        <w:t>.</w:t>
      </w:r>
    </w:p>
    <w:p w14:paraId="043A243E" w14:textId="378B3446" w:rsidR="004B26E5" w:rsidRPr="004B26E5" w:rsidRDefault="004B26E5" w:rsidP="004B26E5">
      <w:pPr>
        <w:pStyle w:val="Heading2"/>
      </w:pPr>
      <w:bookmarkStart w:id="14" w:name="_Private_GIS"/>
      <w:bookmarkEnd w:id="14"/>
      <w:r>
        <w:t>Private GIS</w:t>
      </w:r>
    </w:p>
    <w:p w14:paraId="51F62D3D" w14:textId="77777777" w:rsidR="006E6208" w:rsidRDefault="00915EFC" w:rsidP="00915EFC">
      <w:r>
        <w:t xml:space="preserve">All private gender services accept self-referral. </w:t>
      </w:r>
      <w:r w:rsidR="001F28AE">
        <w:t xml:space="preserve"> </w:t>
      </w:r>
      <w:r>
        <w:t xml:space="preserve">Due to the significant waiting times for NHS gender identity clinics, some patients choose to seek review from independent gender specialists, which may be located outside of the UK. </w:t>
      </w:r>
      <w:r w:rsidR="004B26E5">
        <w:t xml:space="preserve"> </w:t>
      </w:r>
    </w:p>
    <w:p w14:paraId="2C162DBD" w14:textId="5A643947" w:rsidR="006E6208" w:rsidRDefault="006E6208" w:rsidP="00915EFC">
      <w:r>
        <w:t xml:space="preserve">Patients should be </w:t>
      </w:r>
      <w:r w:rsidRPr="006E6208">
        <w:t>strongly discouraged from sourcing puberty suppressing or gender affirming hormones from unregulated sources or from on-line providers that are not regulated by UK regulatory bodies</w:t>
      </w:r>
      <w:r>
        <w:t>.</w:t>
      </w:r>
    </w:p>
    <w:p w14:paraId="4D35C616" w14:textId="76EE1D7B" w:rsidR="004B442D" w:rsidRDefault="00915EFC" w:rsidP="00915EFC">
      <w:r>
        <w:t>It is highly recommended that the GP ask the service provider to demonstrate the necessary expertise before responding to the provider’s request.</w:t>
      </w:r>
      <w:r w:rsidR="004B26E5">
        <w:t xml:space="preserve"> </w:t>
      </w:r>
      <w:r>
        <w:t xml:space="preserve"> In all cases, prescribers should not issue any prescriptions until satisfied that the criteria defined by NHS England is met </w:t>
      </w:r>
      <w:r w:rsidR="004B442D">
        <w:t>in their se</w:t>
      </w:r>
      <w:r>
        <w:t>rvice specification</w:t>
      </w:r>
      <w:r w:rsidR="004B442D">
        <w:t>s for adults</w:t>
      </w:r>
      <w:r w:rsidR="006C7BDC">
        <w:rPr>
          <w:vertAlign w:val="superscript"/>
        </w:rPr>
        <w:t>11</w:t>
      </w:r>
      <w:r w:rsidR="004B442D" w:rsidRPr="004B442D">
        <w:rPr>
          <w:vertAlign w:val="superscript"/>
        </w:rPr>
        <w:t xml:space="preserve"> </w:t>
      </w:r>
      <w:r w:rsidR="004B442D">
        <w:t>and CYP</w:t>
      </w:r>
      <w:r w:rsidR="004B442D" w:rsidRPr="004B442D">
        <w:rPr>
          <w:vertAlign w:val="superscript"/>
        </w:rPr>
        <w:t>2</w:t>
      </w:r>
      <w:r w:rsidR="004B442D" w:rsidRPr="00430FCE">
        <w:t>.</w:t>
      </w:r>
      <w:r w:rsidR="003D137B" w:rsidRPr="00430FCE">
        <w:t xml:space="preserve">  Any request for shared should be in line with an NHS commissioned service and GPs could ask the private </w:t>
      </w:r>
      <w:r w:rsidR="0067349C" w:rsidRPr="00430FCE">
        <w:t>provider to</w:t>
      </w:r>
      <w:r w:rsidR="003D137B" w:rsidRPr="00430FCE">
        <w:t xml:space="preserve"> sign up to</w:t>
      </w:r>
      <w:r w:rsidR="0067349C" w:rsidRPr="00430FCE">
        <w:t xml:space="preserve"> an NHS agreed document </w:t>
      </w:r>
      <w:r w:rsidR="003D137B" w:rsidRPr="00430FCE">
        <w:t xml:space="preserve">e.g. </w:t>
      </w:r>
      <w:r w:rsidR="004B442D" w:rsidRPr="00430FCE">
        <w:t xml:space="preserve"> </w:t>
      </w:r>
      <w:hyperlink r:id="rId18" w:history="1">
        <w:r w:rsidR="003D137B" w:rsidRPr="00430FCE">
          <w:rPr>
            <w:rStyle w:val="Hyperlink"/>
          </w:rPr>
          <w:t>Clinical information and guidance for hormone therapy - Gender Identity Clinic – GIC</w:t>
        </w:r>
      </w:hyperlink>
      <w:r w:rsidR="003D137B" w:rsidRPr="00430FCE">
        <w:t>.</w:t>
      </w:r>
    </w:p>
    <w:p w14:paraId="0E2D6E95" w14:textId="477FC5A8" w:rsidR="00915EFC" w:rsidRDefault="00915EFC" w:rsidP="00915EFC">
      <w:r>
        <w:t>Appendix 1 shows a standard letter that GPs can send to non-NHS providers to satisfy due diligence and to help set up appropriate shared care agreements. The letter lists the evidence which private providers should be expected to supply to support a GP’s request. See Appendix 1: DRAFT LETTER FOR DUE DILLIGENCE OF PRIVATE PROVIDER</w:t>
      </w:r>
    </w:p>
    <w:p w14:paraId="11C3B77A" w14:textId="77777777" w:rsidR="00EA30D6" w:rsidRPr="00DB1923" w:rsidRDefault="00EA30D6" w:rsidP="00EA30D6">
      <w:pPr>
        <w:pStyle w:val="Heading1"/>
      </w:pPr>
      <w:r>
        <w:t>References</w:t>
      </w:r>
    </w:p>
    <w:bookmarkStart w:id="15" w:name="_Hlk139556323"/>
    <w:p w14:paraId="1C6281F6" w14:textId="77777777" w:rsidR="00EA30D6" w:rsidRDefault="00EA30D6" w:rsidP="00EA30D6">
      <w:pPr>
        <w:pStyle w:val="ListParagraph"/>
        <w:numPr>
          <w:ilvl w:val="0"/>
          <w:numId w:val="9"/>
        </w:numPr>
      </w:pPr>
      <w:r w:rsidRPr="00331E53">
        <w:fldChar w:fldCharType="begin"/>
      </w:r>
      <w:r w:rsidRPr="00331E53">
        <w:instrText xml:space="preserve"> HYPERLINK "https://www.england.nhs.uk/publication/service-specification-gender-identity-services-for-adults-non-surgical-interventions/" </w:instrText>
      </w:r>
      <w:r w:rsidRPr="00331E53">
        <w:fldChar w:fldCharType="separate"/>
      </w:r>
      <w:r w:rsidRPr="00331E53">
        <w:rPr>
          <w:color w:val="0000FF"/>
          <w:u w:val="single"/>
        </w:rPr>
        <w:t>NHS England » Service specification: Gender Identity Services for Adults (Non-Surgical Interventions)</w:t>
      </w:r>
      <w:r w:rsidRPr="00331E53">
        <w:fldChar w:fldCharType="end"/>
      </w:r>
      <w:r>
        <w:t xml:space="preserve"> (2019)</w:t>
      </w:r>
    </w:p>
    <w:p w14:paraId="0A208E84" w14:textId="4353E5DF" w:rsidR="00EA30D6" w:rsidRDefault="00EA30D6" w:rsidP="00EA30D6">
      <w:pPr>
        <w:pStyle w:val="ListParagraph"/>
        <w:numPr>
          <w:ilvl w:val="0"/>
          <w:numId w:val="9"/>
        </w:numPr>
      </w:pPr>
      <w:hyperlink r:id="rId19" w:history="1">
        <w:r w:rsidRPr="00603B99">
          <w:rPr>
            <w:color w:val="0000FF"/>
            <w:u w:val="single"/>
          </w:rPr>
          <w:t>NHS England » Interim service specification for specialist gender incongruence services for children and young people</w:t>
        </w:r>
      </w:hyperlink>
      <w:r>
        <w:t xml:space="preserve"> (</w:t>
      </w:r>
      <w:r w:rsidR="001E58C3">
        <w:t>updated March 2024</w:t>
      </w:r>
      <w:r>
        <w:t>)</w:t>
      </w:r>
    </w:p>
    <w:p w14:paraId="1E0810C2" w14:textId="77777777" w:rsidR="00EA30D6" w:rsidRDefault="00EA30D6" w:rsidP="00EA30D6">
      <w:pPr>
        <w:pStyle w:val="ListParagraph"/>
        <w:numPr>
          <w:ilvl w:val="0"/>
          <w:numId w:val="9"/>
        </w:numPr>
      </w:pPr>
      <w:hyperlink r:id="rId20" w:history="1">
        <w:r w:rsidRPr="00603B99">
          <w:rPr>
            <w:color w:val="0000FF"/>
            <w:u w:val="single"/>
          </w:rPr>
          <w:t>Gender incongruence in primary care (bma.org.uk)</w:t>
        </w:r>
      </w:hyperlink>
      <w:r>
        <w:t xml:space="preserve"> (accessed July 2023)</w:t>
      </w:r>
    </w:p>
    <w:p w14:paraId="36779BCC" w14:textId="77777777" w:rsidR="00EA30D6" w:rsidRDefault="00EA30D6" w:rsidP="00EA30D6">
      <w:pPr>
        <w:pStyle w:val="ListParagraph"/>
        <w:numPr>
          <w:ilvl w:val="0"/>
          <w:numId w:val="9"/>
        </w:numPr>
      </w:pPr>
      <w:hyperlink r:id="rId21" w:anchor="Prescribing" w:history="1">
        <w:r w:rsidRPr="000474E9">
          <w:rPr>
            <w:color w:val="0000FF"/>
            <w:u w:val="single"/>
          </w:rPr>
          <w:t>Trans healthcare - ethical topic - GMC (gmc-uk.org)</w:t>
        </w:r>
      </w:hyperlink>
      <w:r>
        <w:t xml:space="preserve"> (accessed July 2023)</w:t>
      </w:r>
    </w:p>
    <w:p w14:paraId="44EADC0B" w14:textId="77777777" w:rsidR="006C7BDC" w:rsidRDefault="006C7BDC" w:rsidP="006C7BDC">
      <w:pPr>
        <w:pStyle w:val="ListParagraph"/>
        <w:numPr>
          <w:ilvl w:val="0"/>
          <w:numId w:val="9"/>
        </w:numPr>
      </w:pPr>
      <w:hyperlink r:id="rId22" w:history="1">
        <w:r w:rsidRPr="001E58C3">
          <w:rPr>
            <w:rStyle w:val="Hyperlink"/>
          </w:rPr>
          <w:t>Final Report – Cass Review</w:t>
        </w:r>
      </w:hyperlink>
      <w:r>
        <w:t xml:space="preserve"> (March 2024)</w:t>
      </w:r>
    </w:p>
    <w:p w14:paraId="29DBCF93" w14:textId="6B562173" w:rsidR="006C7BDC" w:rsidRDefault="006C7BDC" w:rsidP="00EA30D6">
      <w:pPr>
        <w:pStyle w:val="ListParagraph"/>
        <w:numPr>
          <w:ilvl w:val="0"/>
          <w:numId w:val="9"/>
        </w:numPr>
      </w:pPr>
      <w:hyperlink r:id="rId23" w:history="1">
        <w:r w:rsidRPr="00761FFF">
          <w:rPr>
            <w:rStyle w:val="Hyperlink"/>
          </w:rPr>
          <w:t>Puberty suppressing hormones (March 2024)</w:t>
        </w:r>
      </w:hyperlink>
    </w:p>
    <w:p w14:paraId="6B2F667C" w14:textId="2431334B" w:rsidR="006C7BDC" w:rsidRDefault="006C7BDC" w:rsidP="00EA30D6">
      <w:pPr>
        <w:pStyle w:val="ListParagraph"/>
        <w:numPr>
          <w:ilvl w:val="0"/>
          <w:numId w:val="9"/>
        </w:numPr>
      </w:pPr>
      <w:r>
        <w:t xml:space="preserve">Puberty supressing hormones: Letter to ICBs (March 2024) </w:t>
      </w:r>
    </w:p>
    <w:p w14:paraId="512AEF12" w14:textId="2526D4E2" w:rsidR="008845E0" w:rsidRDefault="008845E0" w:rsidP="008845E0">
      <w:pPr>
        <w:pStyle w:val="ListParagraph"/>
        <w:numPr>
          <w:ilvl w:val="0"/>
          <w:numId w:val="0"/>
        </w:numPr>
        <w:ind w:left="360"/>
      </w:pPr>
      <w:r w:rsidRPr="000B52EC">
        <w:t xml:space="preserve">Access via PAD page </w:t>
      </w:r>
      <w:hyperlink r:id="rId24" w:history="1">
        <w:proofErr w:type="gramStart"/>
        <w:r w:rsidRPr="000B52EC">
          <w:rPr>
            <w:rStyle w:val="Hyperlink"/>
          </w:rPr>
          <w:t>Guidelines :</w:t>
        </w:r>
        <w:proofErr w:type="gramEnd"/>
        <w:r w:rsidRPr="000B52EC">
          <w:rPr>
            <w:rStyle w:val="Hyperlink"/>
          </w:rPr>
          <w:t xml:space="preserve"> Transgender Health - Children &amp; Young People (res-systems.net)</w:t>
        </w:r>
      </w:hyperlink>
    </w:p>
    <w:p w14:paraId="14621B58" w14:textId="76BE6F21" w:rsidR="006C7BDC" w:rsidRDefault="006C7BDC" w:rsidP="00EA30D6">
      <w:pPr>
        <w:pStyle w:val="ListParagraph"/>
        <w:numPr>
          <w:ilvl w:val="0"/>
          <w:numId w:val="9"/>
        </w:numPr>
      </w:pPr>
      <w:hyperlink r:id="rId25" w:history="1">
        <w:r w:rsidRPr="00761FFF">
          <w:rPr>
            <w:rStyle w:val="Hyperlink"/>
          </w:rPr>
          <w:t>Gender affirming hormones (March 2024)</w:t>
        </w:r>
      </w:hyperlink>
    </w:p>
    <w:p w14:paraId="25A0B93A" w14:textId="520B3E4E" w:rsidR="00EA30D6" w:rsidRDefault="00EA30D6" w:rsidP="00EA30D6">
      <w:pPr>
        <w:pStyle w:val="ListParagraph"/>
        <w:numPr>
          <w:ilvl w:val="0"/>
          <w:numId w:val="9"/>
        </w:numPr>
      </w:pPr>
      <w:hyperlink r:id="rId26" w:history="1">
        <w:r>
          <w:rPr>
            <w:color w:val="0000FF"/>
            <w:u w:val="single"/>
          </w:rPr>
          <w:t>NHS England: Primary Care Responsibilities in Prescribing &amp; Monitoring Hormone Therapy for Transgender and Non-Binary Adults (updated)</w:t>
        </w:r>
      </w:hyperlink>
      <w:r>
        <w:t xml:space="preserve"> (April 2016) </w:t>
      </w:r>
    </w:p>
    <w:p w14:paraId="21EEB0ED" w14:textId="77777777" w:rsidR="00EA30D6" w:rsidRDefault="00EA30D6" w:rsidP="00EA30D6">
      <w:pPr>
        <w:pStyle w:val="ListParagraph"/>
        <w:numPr>
          <w:ilvl w:val="0"/>
          <w:numId w:val="9"/>
        </w:numPr>
      </w:pPr>
      <w:hyperlink r:id="rId27" w:history="1">
        <w:r w:rsidRPr="008C77B1">
          <w:rPr>
            <w:color w:val="0000FF"/>
            <w:u w:val="single"/>
          </w:rPr>
          <w:t>Good practice in prescribing and managing medicines and devices (gmc-uk.org)</w:t>
        </w:r>
      </w:hyperlink>
      <w:r>
        <w:t xml:space="preserve"> (2021)</w:t>
      </w:r>
    </w:p>
    <w:p w14:paraId="7F6D791E" w14:textId="77777777" w:rsidR="00EA30D6" w:rsidRDefault="00EA30D6" w:rsidP="00EA30D6">
      <w:pPr>
        <w:pStyle w:val="ListParagraph"/>
        <w:numPr>
          <w:ilvl w:val="0"/>
          <w:numId w:val="9"/>
        </w:numPr>
      </w:pPr>
      <w:hyperlink r:id="rId28" w:history="1">
        <w:r w:rsidRPr="006E6208">
          <w:rPr>
            <w:color w:val="0000FF"/>
            <w:u w:val="single"/>
          </w:rPr>
          <w:t>NHS England » Service specification: Gender Identity Services for Adults (Non-Surgical Interventions)</w:t>
        </w:r>
      </w:hyperlink>
      <w:r>
        <w:t xml:space="preserve"> (updated Nov 2022)</w:t>
      </w:r>
    </w:p>
    <w:bookmarkEnd w:id="15"/>
    <w:p w14:paraId="3BE4346C" w14:textId="4EBB0FBB" w:rsidR="00EA30D6" w:rsidRDefault="00EA30D6">
      <w:pPr>
        <w:spacing w:before="0" w:after="0" w:line="240" w:lineRule="auto"/>
      </w:pPr>
      <w:r>
        <w:br w:type="page"/>
      </w:r>
    </w:p>
    <w:p w14:paraId="3EBD4639" w14:textId="42BB961F" w:rsidR="006938E4" w:rsidRPr="00DB1923" w:rsidRDefault="006938E4" w:rsidP="003344C9">
      <w:pPr>
        <w:pStyle w:val="Heading2"/>
        <w:spacing w:before="120"/>
      </w:pPr>
      <w:bookmarkStart w:id="16" w:name="_Appendix_1:_DRAFT"/>
      <w:bookmarkEnd w:id="16"/>
      <w:r w:rsidRPr="006938E4">
        <w:rPr>
          <w:lang w:val="en-US"/>
        </w:rPr>
        <w:t>Appendix 1: DRAFT LETTER FOR DUE DILLIGENCE OF PRIVATE PROVIDERS</w:t>
      </w:r>
    </w:p>
    <w:p w14:paraId="57173258" w14:textId="77777777" w:rsidR="007D6334" w:rsidRPr="007D6334" w:rsidRDefault="007D6334" w:rsidP="007D6334">
      <w:pPr>
        <w:widowControl w:val="0"/>
        <w:autoSpaceDE w:val="0"/>
        <w:autoSpaceDN w:val="0"/>
        <w:spacing w:before="0" w:after="0" w:line="240" w:lineRule="auto"/>
        <w:rPr>
          <w:rFonts w:ascii="Calibri" w:eastAsia="Calibri" w:hAnsi="Calibri" w:cs="Calibri"/>
          <w:b/>
          <w:sz w:val="22"/>
          <w:szCs w:val="22"/>
          <w:lang w:val="en-US"/>
        </w:rPr>
      </w:pPr>
    </w:p>
    <w:p w14:paraId="2FF348A4" w14:textId="77777777" w:rsidR="007D6334" w:rsidRPr="007D6334" w:rsidRDefault="007D6334" w:rsidP="003344C9">
      <w:pPr>
        <w:widowControl w:val="0"/>
        <w:autoSpaceDE w:val="0"/>
        <w:autoSpaceDN w:val="0"/>
        <w:spacing w:before="1" w:after="0" w:line="240" w:lineRule="auto"/>
        <w:rPr>
          <w:rFonts w:ascii="Calibri" w:eastAsia="Calibri" w:hAnsi="Calibri" w:cs="Calibri"/>
          <w:sz w:val="22"/>
          <w:szCs w:val="22"/>
          <w:lang w:val="en-US"/>
        </w:rPr>
      </w:pPr>
      <w:r w:rsidRPr="007D6334">
        <w:rPr>
          <w:rFonts w:ascii="Calibri" w:eastAsia="Calibri" w:hAnsi="Calibri" w:cs="Calibri"/>
          <w:sz w:val="22"/>
          <w:szCs w:val="22"/>
          <w:lang w:val="en-US"/>
        </w:rPr>
        <w:t>Dear</w:t>
      </w:r>
      <w:r w:rsidRPr="007D6334">
        <w:rPr>
          <w:rFonts w:ascii="Calibri" w:eastAsia="Calibri" w:hAnsi="Calibri" w:cs="Calibri"/>
          <w:spacing w:val="-2"/>
          <w:sz w:val="22"/>
          <w:szCs w:val="22"/>
          <w:lang w:val="en-US"/>
        </w:rPr>
        <w:t xml:space="preserve"> Colleague,</w:t>
      </w:r>
    </w:p>
    <w:p w14:paraId="233679EC" w14:textId="77777777" w:rsidR="007D6334" w:rsidRPr="007D6334" w:rsidRDefault="007D6334" w:rsidP="003344C9">
      <w:pPr>
        <w:widowControl w:val="0"/>
        <w:autoSpaceDE w:val="0"/>
        <w:autoSpaceDN w:val="0"/>
        <w:spacing w:before="0" w:after="0" w:line="240" w:lineRule="auto"/>
        <w:rPr>
          <w:rFonts w:ascii="Calibri" w:eastAsia="Calibri" w:hAnsi="Calibri" w:cs="Calibri"/>
          <w:sz w:val="22"/>
          <w:szCs w:val="22"/>
          <w:lang w:val="en-US"/>
        </w:rPr>
      </w:pPr>
    </w:p>
    <w:p w14:paraId="7BF00B01" w14:textId="77777777" w:rsidR="007D6334" w:rsidRPr="007D6334" w:rsidRDefault="007D6334" w:rsidP="003344C9">
      <w:pPr>
        <w:widowControl w:val="0"/>
        <w:autoSpaceDE w:val="0"/>
        <w:autoSpaceDN w:val="0"/>
        <w:spacing w:before="0" w:after="0" w:line="240" w:lineRule="auto"/>
        <w:ind w:right="693"/>
        <w:jc w:val="both"/>
        <w:rPr>
          <w:rFonts w:ascii="Calibri" w:eastAsia="Calibri" w:hAnsi="Calibri" w:cs="Calibri"/>
          <w:sz w:val="22"/>
          <w:szCs w:val="22"/>
          <w:lang w:val="en-US"/>
        </w:rPr>
      </w:pPr>
      <w:r w:rsidRPr="007D6334">
        <w:rPr>
          <w:rFonts w:ascii="Calibri" w:eastAsia="Calibri" w:hAnsi="Calibri" w:cs="Calibri"/>
          <w:sz w:val="22"/>
          <w:szCs w:val="22"/>
          <w:lang w:val="en-US"/>
        </w:rPr>
        <w:t>Many</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thanks for</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correspondence. In line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NHS England directions, I will</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consider undertaking prescribing</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monitoring</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treatment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for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patient,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under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guidance,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subject</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following conditions being met:</w:t>
      </w:r>
    </w:p>
    <w:p w14:paraId="42E30F03" w14:textId="77777777" w:rsidR="007D6334" w:rsidRDefault="007D6334" w:rsidP="007D6334">
      <w:pPr>
        <w:widowControl w:val="0"/>
        <w:autoSpaceDE w:val="0"/>
        <w:autoSpaceDN w:val="0"/>
        <w:spacing w:before="11" w:after="0" w:line="240" w:lineRule="auto"/>
        <w:rPr>
          <w:rFonts w:ascii="Calibri" w:eastAsia="Calibri" w:hAnsi="Calibri" w:cs="Calibri"/>
          <w:sz w:val="21"/>
          <w:szCs w:val="22"/>
          <w:lang w:val="en-US"/>
        </w:rPr>
      </w:pPr>
    </w:p>
    <w:p w14:paraId="1BC3C46D" w14:textId="77777777" w:rsidR="007D6334" w:rsidRPr="007D6334" w:rsidRDefault="007D6334" w:rsidP="007D6334">
      <w:pPr>
        <w:widowControl w:val="0"/>
        <w:numPr>
          <w:ilvl w:val="0"/>
          <w:numId w:val="8"/>
        </w:numPr>
        <w:tabs>
          <w:tab w:val="left" w:pos="818"/>
          <w:tab w:val="left" w:pos="820"/>
        </w:tabs>
        <w:autoSpaceDE w:val="0"/>
        <w:autoSpaceDN w:val="0"/>
        <w:spacing w:before="0" w:after="0" w:line="240" w:lineRule="auto"/>
        <w:ind w:right="173"/>
        <w:rPr>
          <w:rFonts w:ascii="Calibri" w:eastAsia="Calibri" w:hAnsi="Calibri" w:cs="Calibri"/>
          <w:sz w:val="22"/>
          <w:szCs w:val="22"/>
          <w:lang w:val="en-US"/>
        </w:rPr>
      </w:pPr>
      <w:r w:rsidRPr="007D6334">
        <w:rPr>
          <w:rFonts w:ascii="Calibri" w:eastAsia="Calibri" w:hAnsi="Calibri" w:cs="Calibri"/>
          <w:sz w:val="22"/>
          <w:szCs w:val="22"/>
          <w:lang w:val="en-US"/>
        </w:rPr>
        <w:t>Your</w:t>
      </w:r>
      <w:r w:rsidRPr="007D6334">
        <w:rPr>
          <w:rFonts w:ascii="Calibri" w:eastAsia="Calibri" w:hAnsi="Calibri" w:cs="Calibri"/>
          <w:spacing w:val="-4"/>
          <w:sz w:val="22"/>
          <w:szCs w:val="22"/>
          <w:lang w:val="en-US"/>
        </w:rPr>
        <w:t xml:space="preserve"> </w:t>
      </w:r>
      <w:proofErr w:type="spellStart"/>
      <w:r w:rsidRPr="007D6334">
        <w:rPr>
          <w:rFonts w:ascii="Calibri" w:eastAsia="Calibri" w:hAnsi="Calibri" w:cs="Calibri"/>
          <w:sz w:val="22"/>
          <w:szCs w:val="22"/>
          <w:lang w:val="en-US"/>
        </w:rPr>
        <w:t>organisation</w:t>
      </w:r>
      <w:proofErr w:type="spellEnd"/>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provides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evidence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confirming</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credentials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both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your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service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clinicians</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in the field of gender dysphoria (please see below)</w:t>
      </w:r>
    </w:p>
    <w:p w14:paraId="40535760" w14:textId="461A937A" w:rsidR="007D6334" w:rsidRPr="00430FCE" w:rsidRDefault="007D6334" w:rsidP="007D6334">
      <w:pPr>
        <w:widowControl w:val="0"/>
        <w:numPr>
          <w:ilvl w:val="0"/>
          <w:numId w:val="8"/>
        </w:numPr>
        <w:tabs>
          <w:tab w:val="left" w:pos="818"/>
          <w:tab w:val="left" w:pos="820"/>
        </w:tabs>
        <w:autoSpaceDE w:val="0"/>
        <w:autoSpaceDN w:val="0"/>
        <w:spacing w:before="1" w:after="0" w:line="240" w:lineRule="auto"/>
        <w:ind w:right="874"/>
        <w:rPr>
          <w:rFonts w:ascii="Calibri" w:eastAsia="Calibri" w:hAnsi="Calibri" w:cs="Calibri"/>
          <w:sz w:val="22"/>
          <w:szCs w:val="22"/>
          <w:lang w:val="en-US"/>
        </w:rPr>
      </w:pPr>
      <w:r w:rsidRPr="00430FCE">
        <w:rPr>
          <w:rFonts w:ascii="Calibri" w:eastAsia="Calibri" w:hAnsi="Calibri" w:cs="Calibri"/>
          <w:sz w:val="22"/>
          <w:szCs w:val="22"/>
          <w:lang w:val="en-US"/>
        </w:rPr>
        <w:t>You</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provide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a</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signed</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shared</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care</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protocol</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in</w:t>
      </w:r>
      <w:r w:rsidRPr="00430FCE">
        <w:rPr>
          <w:rFonts w:ascii="Calibri" w:eastAsia="Calibri" w:hAnsi="Calibri" w:cs="Calibri"/>
          <w:spacing w:val="-3"/>
          <w:sz w:val="22"/>
          <w:szCs w:val="22"/>
          <w:lang w:val="en-US"/>
        </w:rPr>
        <w:t xml:space="preserve"> </w:t>
      </w:r>
      <w:r w:rsidRPr="00430FCE">
        <w:rPr>
          <w:rFonts w:ascii="Calibri" w:eastAsia="Calibri" w:hAnsi="Calibri" w:cs="Calibri"/>
          <w:sz w:val="22"/>
          <w:szCs w:val="22"/>
          <w:lang w:val="en-US"/>
        </w:rPr>
        <w:t>line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with</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those</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provided</w:t>
      </w:r>
      <w:r w:rsidRPr="00430FCE">
        <w:rPr>
          <w:rFonts w:ascii="Calibri" w:eastAsia="Calibri" w:hAnsi="Calibri" w:cs="Calibri"/>
          <w:spacing w:val="-2"/>
          <w:sz w:val="22"/>
          <w:szCs w:val="22"/>
          <w:lang w:val="en-US"/>
        </w:rPr>
        <w:t xml:space="preserve"> </w:t>
      </w:r>
      <w:r w:rsidRPr="00430FCE">
        <w:rPr>
          <w:rFonts w:ascii="Calibri" w:eastAsia="Calibri" w:hAnsi="Calibri" w:cs="Calibri"/>
          <w:sz w:val="22"/>
          <w:szCs w:val="22"/>
          <w:lang w:val="en-US"/>
        </w:rPr>
        <w:t>by</w:t>
      </w:r>
      <w:r w:rsidRPr="00430FCE">
        <w:rPr>
          <w:rFonts w:ascii="Calibri" w:eastAsia="Calibri" w:hAnsi="Calibri" w:cs="Calibri"/>
          <w:spacing w:val="-4"/>
          <w:sz w:val="22"/>
          <w:szCs w:val="22"/>
          <w:lang w:val="en-US"/>
        </w:rPr>
        <w:t xml:space="preserve"> </w:t>
      </w:r>
      <w:r w:rsidRPr="00430FCE">
        <w:rPr>
          <w:rFonts w:ascii="Calibri" w:eastAsia="Calibri" w:hAnsi="Calibri" w:cs="Calibri"/>
          <w:sz w:val="22"/>
          <w:szCs w:val="22"/>
          <w:lang w:val="en-US"/>
        </w:rPr>
        <w:t>NHS-commissioned providers,</w:t>
      </w:r>
      <w:r w:rsidR="003D137B" w:rsidRPr="00430FCE">
        <w:rPr>
          <w:rFonts w:ascii="Calibri" w:eastAsia="Calibri" w:hAnsi="Calibri" w:cs="Calibri"/>
          <w:sz w:val="22"/>
          <w:szCs w:val="22"/>
          <w:lang w:val="en-US"/>
        </w:rPr>
        <w:t xml:space="preserve"> example can be found here </w:t>
      </w:r>
      <w:hyperlink r:id="rId29" w:history="1">
        <w:r w:rsidR="003D137B" w:rsidRPr="00430FCE">
          <w:rPr>
            <w:rStyle w:val="Hyperlink"/>
            <w:rFonts w:ascii="Calibri" w:eastAsia="Calibri" w:hAnsi="Calibri" w:cs="Calibri"/>
            <w:sz w:val="22"/>
            <w:szCs w:val="22"/>
          </w:rPr>
          <w:t>Clinical information and guidance for hormone therapy - Gender Identity Clinic – GIC</w:t>
        </w:r>
      </w:hyperlink>
      <w:r w:rsidR="003D137B" w:rsidRPr="00430FCE">
        <w:rPr>
          <w:rFonts w:ascii="Calibri" w:eastAsia="Calibri" w:hAnsi="Calibri" w:cs="Calibri"/>
          <w:sz w:val="22"/>
          <w:szCs w:val="22"/>
          <w:lang w:val="en-US"/>
        </w:rPr>
        <w:t xml:space="preserve">  </w:t>
      </w:r>
      <w:r w:rsidRPr="00430FCE">
        <w:rPr>
          <w:rFonts w:ascii="Calibri" w:eastAsia="Calibri" w:hAnsi="Calibri" w:cs="Calibri"/>
          <w:sz w:val="22"/>
          <w:szCs w:val="22"/>
          <w:lang w:val="en-US"/>
        </w:rPr>
        <w:t>and</w:t>
      </w:r>
    </w:p>
    <w:p w14:paraId="2C157A24" w14:textId="2414B2F2" w:rsidR="00035F1F" w:rsidRPr="00035F1F" w:rsidRDefault="007D6334" w:rsidP="00035F1F">
      <w:pPr>
        <w:widowControl w:val="0"/>
        <w:numPr>
          <w:ilvl w:val="0"/>
          <w:numId w:val="8"/>
        </w:numPr>
        <w:tabs>
          <w:tab w:val="left" w:pos="818"/>
          <w:tab w:val="left" w:pos="820"/>
        </w:tabs>
        <w:autoSpaceDE w:val="0"/>
        <w:autoSpaceDN w:val="0"/>
        <w:spacing w:before="0" w:after="0" w:line="240" w:lineRule="auto"/>
        <w:ind w:right="187"/>
        <w:rPr>
          <w:rFonts w:ascii="Calibri" w:eastAsia="Calibri" w:hAnsi="Calibri" w:cs="Calibri"/>
          <w:sz w:val="22"/>
          <w:szCs w:val="22"/>
          <w:lang w:val="en-US"/>
        </w:rPr>
      </w:pPr>
      <w:r w:rsidRPr="007D6334">
        <w:rPr>
          <w:rFonts w:ascii="Calibri" w:eastAsia="Calibri" w:hAnsi="Calibri" w:cs="Calibri"/>
          <w:sz w:val="22"/>
          <w:szCs w:val="22"/>
          <w:lang w:val="en-US"/>
        </w:rPr>
        <w:t>For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patients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aged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under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17</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(before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their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17</w:t>
      </w:r>
      <w:r w:rsidRPr="007D6334">
        <w:rPr>
          <w:rFonts w:ascii="Calibri" w:eastAsia="Calibri" w:hAnsi="Calibri" w:cs="Calibri"/>
          <w:sz w:val="22"/>
          <w:szCs w:val="22"/>
          <w:vertAlign w:val="superscript"/>
          <w:lang w:val="en-US"/>
        </w:rPr>
        <w:t>th</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birthday),</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you</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provide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signed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shared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care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 xml:space="preserve">agreement from a </w:t>
      </w:r>
      <w:proofErr w:type="spellStart"/>
      <w:r w:rsidRPr="007D6334">
        <w:rPr>
          <w:rFonts w:ascii="Calibri" w:eastAsia="Calibri" w:hAnsi="Calibri" w:cs="Calibri"/>
          <w:sz w:val="22"/>
          <w:szCs w:val="22"/>
          <w:lang w:val="en-US"/>
        </w:rPr>
        <w:t>paediatric</w:t>
      </w:r>
      <w:proofErr w:type="spellEnd"/>
      <w:r w:rsidRPr="007D6334">
        <w:rPr>
          <w:rFonts w:ascii="Calibri" w:eastAsia="Calibri" w:hAnsi="Calibri" w:cs="Calibri"/>
          <w:sz w:val="22"/>
          <w:szCs w:val="22"/>
          <w:lang w:val="en-US"/>
        </w:rPr>
        <w:t xml:space="preserve"> endocrinologist, in line with NHS England guidance. Please note that we do not accept requests for transgender hormones for individuals until around their 16th birthday, as outlined by NHS Commissioning Policy, and in addition such requests must align with all other commissioning requirements</w:t>
      </w:r>
      <w:r w:rsidR="00035F1F">
        <w:rPr>
          <w:rFonts w:ascii="Calibri" w:eastAsia="Calibri" w:hAnsi="Calibri" w:cs="Calibri"/>
          <w:sz w:val="22"/>
          <w:szCs w:val="22"/>
          <w:lang w:val="en-US"/>
        </w:rPr>
        <w:t>.  We do not accept requests for puberty blockers in children and young people in line with the Cass report and interim NHSE England policy.</w:t>
      </w:r>
    </w:p>
    <w:p w14:paraId="6DFEB769" w14:textId="77777777" w:rsidR="007D6334" w:rsidRPr="007D6334" w:rsidRDefault="007D6334" w:rsidP="007D6334">
      <w:pPr>
        <w:widowControl w:val="0"/>
        <w:autoSpaceDE w:val="0"/>
        <w:autoSpaceDN w:val="0"/>
        <w:spacing w:before="11" w:after="0" w:line="240" w:lineRule="auto"/>
        <w:rPr>
          <w:rFonts w:ascii="Calibri" w:eastAsia="Calibri" w:hAnsi="Calibri" w:cs="Calibri"/>
          <w:sz w:val="21"/>
          <w:szCs w:val="22"/>
          <w:lang w:val="en-US"/>
        </w:rPr>
      </w:pPr>
    </w:p>
    <w:p w14:paraId="5FCF3C24" w14:textId="77777777" w:rsidR="007D6334" w:rsidRPr="007D6334" w:rsidRDefault="007D6334" w:rsidP="007D6334">
      <w:pPr>
        <w:widowControl w:val="0"/>
        <w:autoSpaceDE w:val="0"/>
        <w:autoSpaceDN w:val="0"/>
        <w:spacing w:before="1" w:after="0" w:line="240" w:lineRule="auto"/>
        <w:ind w:left="100"/>
        <w:rPr>
          <w:rFonts w:ascii="Calibri" w:eastAsia="Calibri" w:hAnsi="Calibri" w:cs="Calibri"/>
          <w:sz w:val="22"/>
          <w:szCs w:val="22"/>
          <w:lang w:val="en-US"/>
        </w:rPr>
      </w:pPr>
      <w:r w:rsidRPr="007D6334">
        <w:rPr>
          <w:rFonts w:ascii="Calibri" w:eastAsia="Calibri" w:hAnsi="Calibri" w:cs="Calibri"/>
          <w:sz w:val="22"/>
          <w:szCs w:val="22"/>
          <w:lang w:val="en-US"/>
        </w:rPr>
        <w:t>Please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note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we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will</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not</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issue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prescriptions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until</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have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been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satisfied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above</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2"/>
          <w:sz w:val="22"/>
          <w:szCs w:val="22"/>
          <w:lang w:val="en-US"/>
        </w:rPr>
        <w:t>conditions.</w:t>
      </w:r>
    </w:p>
    <w:p w14:paraId="2C431ACE" w14:textId="77777777" w:rsidR="007D6334" w:rsidRPr="007D6334" w:rsidRDefault="007D6334" w:rsidP="007D6334">
      <w:pPr>
        <w:widowControl w:val="0"/>
        <w:autoSpaceDE w:val="0"/>
        <w:autoSpaceDN w:val="0"/>
        <w:spacing w:before="0" w:after="0" w:line="240" w:lineRule="auto"/>
        <w:rPr>
          <w:rFonts w:ascii="Calibri" w:eastAsia="Calibri" w:hAnsi="Calibri" w:cs="Calibri"/>
          <w:sz w:val="22"/>
          <w:szCs w:val="22"/>
          <w:lang w:val="en-US"/>
        </w:rPr>
      </w:pPr>
    </w:p>
    <w:p w14:paraId="25680FA1" w14:textId="1672FDDC" w:rsidR="007D6334" w:rsidRPr="007D6334" w:rsidRDefault="007D6334" w:rsidP="007D6334">
      <w:pPr>
        <w:widowControl w:val="0"/>
        <w:autoSpaceDE w:val="0"/>
        <w:autoSpaceDN w:val="0"/>
        <w:spacing w:before="1" w:after="0" w:line="240" w:lineRule="auto"/>
        <w:ind w:left="100"/>
        <w:rPr>
          <w:rFonts w:ascii="Calibri" w:eastAsia="Calibri" w:hAnsi="Calibri" w:cs="Calibri"/>
          <w:sz w:val="22"/>
          <w:szCs w:val="22"/>
          <w:lang w:val="en-US"/>
        </w:rPr>
      </w:pPr>
      <w:r w:rsidRPr="007D6334">
        <w:rPr>
          <w:rFonts w:ascii="Calibri" w:eastAsia="Calibri" w:hAnsi="Calibri" w:cs="Calibri"/>
          <w:sz w:val="22"/>
          <w:szCs w:val="22"/>
          <w:lang w:val="en-US"/>
        </w:rPr>
        <w:t>To satisfy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clause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1,</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NHS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England</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advice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states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GPs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must</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ensure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such</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requests</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comply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 xml:space="preserve">following </w:t>
      </w:r>
      <w:r w:rsidRPr="007D6334">
        <w:rPr>
          <w:rFonts w:ascii="Calibri" w:eastAsia="Calibri" w:hAnsi="Calibri" w:cs="Calibri"/>
          <w:spacing w:val="-2"/>
          <w:sz w:val="22"/>
          <w:szCs w:val="22"/>
          <w:lang w:val="en-US"/>
        </w:rPr>
        <w:t>points</w:t>
      </w:r>
      <w:r w:rsidR="00374208">
        <w:rPr>
          <w:rFonts w:ascii="Calibri" w:eastAsia="Calibri" w:hAnsi="Calibri" w:cs="Calibri"/>
          <w:spacing w:val="-2"/>
          <w:sz w:val="22"/>
          <w:szCs w:val="22"/>
          <w:lang w:val="en-US"/>
        </w:rPr>
        <w:t xml:space="preserve"> for adults, children and young people</w:t>
      </w:r>
      <w:r w:rsidRPr="007D6334">
        <w:rPr>
          <w:rFonts w:ascii="Calibri" w:eastAsia="Calibri" w:hAnsi="Calibri" w:cs="Calibri"/>
          <w:spacing w:val="-2"/>
          <w:sz w:val="22"/>
          <w:szCs w:val="22"/>
          <w:lang w:val="en-US"/>
        </w:rPr>
        <w:t>:</w:t>
      </w:r>
    </w:p>
    <w:p w14:paraId="242C4F35" w14:textId="77777777" w:rsidR="007D6334" w:rsidRPr="007D6334" w:rsidRDefault="007D6334" w:rsidP="007D6334">
      <w:pPr>
        <w:widowControl w:val="0"/>
        <w:numPr>
          <w:ilvl w:val="1"/>
          <w:numId w:val="8"/>
        </w:numPr>
        <w:tabs>
          <w:tab w:val="left" w:pos="820"/>
        </w:tabs>
        <w:autoSpaceDE w:val="0"/>
        <w:autoSpaceDN w:val="0"/>
        <w:spacing w:before="0" w:after="0" w:line="279" w:lineRule="exact"/>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request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from</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reputable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company</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provides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safe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effective</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2"/>
          <w:sz w:val="22"/>
          <w:szCs w:val="22"/>
          <w:lang w:val="en-US"/>
        </w:rPr>
        <w:t>service</w:t>
      </w:r>
    </w:p>
    <w:p w14:paraId="52E7752D" w14:textId="77777777" w:rsidR="007D6334" w:rsidRPr="007D6334" w:rsidRDefault="007D6334" w:rsidP="007D6334">
      <w:pPr>
        <w:widowControl w:val="0"/>
        <w:numPr>
          <w:ilvl w:val="1"/>
          <w:numId w:val="8"/>
        </w:numPr>
        <w:tabs>
          <w:tab w:val="left" w:pos="820"/>
        </w:tabs>
        <w:autoSpaceDE w:val="0"/>
        <w:autoSpaceDN w:val="0"/>
        <w:spacing w:before="0" w:after="0" w:line="279" w:lineRule="exact"/>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circumstances</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request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for</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proofErr w:type="gramStart"/>
      <w:r w:rsidRPr="007D6334">
        <w:rPr>
          <w:rFonts w:ascii="Calibri" w:eastAsia="Calibri" w:hAnsi="Calibri" w:cs="Calibri"/>
          <w:sz w:val="22"/>
          <w:szCs w:val="22"/>
          <w:lang w:val="en-US"/>
        </w:rPr>
        <w:t>particular</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individual</w:t>
      </w:r>
      <w:proofErr w:type="gramEnd"/>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meet</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general</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principles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6"/>
          <w:sz w:val="22"/>
          <w:szCs w:val="22"/>
          <w:lang w:val="en-US"/>
        </w:rPr>
        <w:t xml:space="preserve"> </w:t>
      </w:r>
      <w:r w:rsidRPr="007D6334">
        <w:rPr>
          <w:rFonts w:ascii="Calibri" w:eastAsia="Calibri" w:hAnsi="Calibri" w:cs="Calibri"/>
          <w:spacing w:val="-5"/>
          <w:sz w:val="22"/>
          <w:szCs w:val="22"/>
          <w:lang w:val="en-US"/>
        </w:rPr>
        <w:t>the</w:t>
      </w:r>
    </w:p>
    <w:p w14:paraId="14871FC9" w14:textId="77777777" w:rsidR="007D6334" w:rsidRPr="007D6334" w:rsidRDefault="007D6334" w:rsidP="007D6334">
      <w:pPr>
        <w:widowControl w:val="0"/>
        <w:autoSpaceDE w:val="0"/>
        <w:autoSpaceDN w:val="0"/>
        <w:spacing w:before="1" w:after="0" w:line="240" w:lineRule="auto"/>
        <w:ind w:left="820"/>
        <w:rPr>
          <w:rFonts w:ascii="Calibri" w:eastAsia="Calibri" w:hAnsi="Calibri" w:cs="Calibri"/>
          <w:sz w:val="22"/>
          <w:szCs w:val="22"/>
          <w:lang w:val="en-US"/>
        </w:rPr>
      </w:pPr>
      <w:r w:rsidRPr="007D6334">
        <w:rPr>
          <w:rFonts w:ascii="Calibri" w:eastAsia="Calibri" w:hAnsi="Calibri" w:cs="Calibri"/>
          <w:sz w:val="22"/>
          <w:szCs w:val="22"/>
          <w:lang w:val="en-US"/>
        </w:rPr>
        <w:t>GMC’s</w:t>
      </w:r>
      <w:r w:rsidRPr="007D6334">
        <w:rPr>
          <w:rFonts w:ascii="Calibri" w:eastAsia="Calibri" w:hAnsi="Calibri" w:cs="Calibri"/>
          <w:spacing w:val="-8"/>
          <w:sz w:val="22"/>
          <w:szCs w:val="22"/>
          <w:lang w:val="en-US"/>
        </w:rPr>
        <w:t xml:space="preserve"> </w:t>
      </w:r>
      <w:r w:rsidRPr="007D6334">
        <w:rPr>
          <w:rFonts w:ascii="Calibri" w:eastAsia="Calibri" w:hAnsi="Calibri" w:cs="Calibri"/>
          <w:sz w:val="22"/>
          <w:szCs w:val="22"/>
          <w:lang w:val="en-US"/>
        </w:rPr>
        <w:t>Good</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Practice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Prescribing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Managing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Medical</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Devices</w:t>
      </w:r>
    </w:p>
    <w:p w14:paraId="1EDB0CBB" w14:textId="77777777" w:rsidR="007D6334" w:rsidRPr="007D6334" w:rsidRDefault="007D6334" w:rsidP="007D6334">
      <w:pPr>
        <w:widowControl w:val="0"/>
        <w:numPr>
          <w:ilvl w:val="1"/>
          <w:numId w:val="8"/>
        </w:numPr>
        <w:tabs>
          <w:tab w:val="left" w:pos="820"/>
        </w:tabs>
        <w:autoSpaceDE w:val="0"/>
        <w:autoSpaceDN w:val="0"/>
        <w:spacing w:before="0" w:after="0" w:line="240" w:lineRule="auto"/>
        <w:ind w:right="158"/>
        <w:rPr>
          <w:rFonts w:ascii="Calibri" w:eastAsia="Calibri" w:hAnsi="Calibri" w:cs="Calibri"/>
          <w:sz w:val="22"/>
          <w:szCs w:val="22"/>
          <w:lang w:val="en-US"/>
        </w:rPr>
      </w:pPr>
      <w:r w:rsidRPr="007D6334">
        <w:rPr>
          <w:rFonts w:ascii="Calibri" w:eastAsia="Calibri" w:hAnsi="Calibri" w:cs="Calibri"/>
          <w:sz w:val="22"/>
          <w:szCs w:val="22"/>
          <w:lang w:val="en-US"/>
        </w:rPr>
        <w:t>The health professional making the request is an appropriate gender specialist. The GMC states ‘an experienced gender specialist will have evidence of relevant training and at least two years' experience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working</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w:t>
      </w:r>
      <w:r w:rsidRPr="007D6334">
        <w:rPr>
          <w:rFonts w:ascii="Calibri" w:eastAsia="Calibri" w:hAnsi="Calibri" w:cs="Calibri"/>
          <w:spacing w:val="-3"/>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dysphoria</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practice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such</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an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NHS</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Clinic. Evidence provided should include the following:</w:t>
      </w:r>
    </w:p>
    <w:p w14:paraId="548429F0" w14:textId="77777777" w:rsidR="007D6334" w:rsidRPr="007D6334" w:rsidRDefault="007D6334" w:rsidP="007D6334">
      <w:pPr>
        <w:widowControl w:val="0"/>
        <w:numPr>
          <w:ilvl w:val="2"/>
          <w:numId w:val="8"/>
        </w:numPr>
        <w:tabs>
          <w:tab w:val="left" w:pos="1306"/>
        </w:tabs>
        <w:autoSpaceDE w:val="0"/>
        <w:autoSpaceDN w:val="0"/>
        <w:spacing w:before="1" w:after="0" w:line="272"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Formal</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links</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NHS-commissioned</w:t>
      </w:r>
      <w:r w:rsidRPr="007D6334">
        <w:rPr>
          <w:rFonts w:ascii="Calibri" w:eastAsia="Calibri" w:hAnsi="Calibri" w:cs="Calibri"/>
          <w:spacing w:val="-6"/>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Clinics</w:t>
      </w:r>
    </w:p>
    <w:p w14:paraId="6D49CB61" w14:textId="77777777" w:rsidR="007D6334" w:rsidRPr="007D6334" w:rsidRDefault="007D6334" w:rsidP="007D6334">
      <w:pPr>
        <w:widowControl w:val="0"/>
        <w:numPr>
          <w:ilvl w:val="2"/>
          <w:numId w:val="8"/>
        </w:numPr>
        <w:tabs>
          <w:tab w:val="left" w:pos="1306"/>
        </w:tabs>
        <w:autoSpaceDE w:val="0"/>
        <w:autoSpaceDN w:val="0"/>
        <w:spacing w:before="0" w:after="0" w:line="268"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Formal</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links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relevant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professional</w:t>
      </w:r>
      <w:r w:rsidRPr="007D6334">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associations</w:t>
      </w:r>
    </w:p>
    <w:p w14:paraId="430C375B" w14:textId="77777777" w:rsidR="007D6334" w:rsidRPr="007D6334" w:rsidRDefault="007D6334" w:rsidP="007D6334">
      <w:pPr>
        <w:widowControl w:val="0"/>
        <w:numPr>
          <w:ilvl w:val="2"/>
          <w:numId w:val="8"/>
        </w:numPr>
        <w:tabs>
          <w:tab w:val="left" w:pos="1306"/>
        </w:tabs>
        <w:autoSpaceDE w:val="0"/>
        <w:autoSpaceDN w:val="0"/>
        <w:spacing w:before="0" w:after="0" w:line="268"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Previous</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time</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spent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working</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NHS-commissioned</w:t>
      </w:r>
      <w:r w:rsidRPr="007D6334">
        <w:rPr>
          <w:rFonts w:ascii="Calibri" w:eastAsia="Calibri" w:hAnsi="Calibri" w:cs="Calibri"/>
          <w:spacing w:val="-5"/>
          <w:sz w:val="22"/>
          <w:szCs w:val="22"/>
          <w:lang w:val="en-US"/>
        </w:rPr>
        <w:t xml:space="preserve"> </w:t>
      </w:r>
      <w:proofErr w:type="spellStart"/>
      <w:r w:rsidRPr="007D6334">
        <w:rPr>
          <w:rFonts w:ascii="Calibri" w:eastAsia="Calibri" w:hAnsi="Calibri" w:cs="Calibri"/>
          <w:sz w:val="22"/>
          <w:szCs w:val="22"/>
          <w:lang w:val="en-US"/>
        </w:rPr>
        <w:t>specialised</w:t>
      </w:r>
      <w:proofErr w:type="spellEnd"/>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identity</w:t>
      </w:r>
      <w:r w:rsidRPr="007D6334">
        <w:rPr>
          <w:rFonts w:ascii="Calibri" w:eastAsia="Calibri" w:hAnsi="Calibri" w:cs="Calibri"/>
          <w:spacing w:val="-5"/>
          <w:sz w:val="22"/>
          <w:szCs w:val="22"/>
          <w:lang w:val="en-US"/>
        </w:rPr>
        <w:t xml:space="preserve"> </w:t>
      </w:r>
      <w:r w:rsidRPr="007D6334">
        <w:rPr>
          <w:rFonts w:ascii="Calibri" w:eastAsia="Calibri" w:hAnsi="Calibri" w:cs="Calibri"/>
          <w:spacing w:val="-2"/>
          <w:sz w:val="22"/>
          <w:szCs w:val="22"/>
          <w:lang w:val="en-US"/>
        </w:rPr>
        <w:t>services</w:t>
      </w:r>
    </w:p>
    <w:p w14:paraId="46B48649" w14:textId="77777777" w:rsidR="007D6334" w:rsidRPr="007D6334" w:rsidRDefault="007D6334" w:rsidP="007D6334">
      <w:pPr>
        <w:widowControl w:val="0"/>
        <w:numPr>
          <w:ilvl w:val="2"/>
          <w:numId w:val="8"/>
        </w:numPr>
        <w:tabs>
          <w:tab w:val="left" w:pos="1306"/>
        </w:tabs>
        <w:autoSpaceDE w:val="0"/>
        <w:autoSpaceDN w:val="0"/>
        <w:spacing w:before="0" w:after="0" w:line="269"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Evidence</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ongoing</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continuous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professional</w:t>
      </w:r>
      <w:r w:rsidRPr="007D6334">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development</w:t>
      </w:r>
    </w:p>
    <w:p w14:paraId="16906B66" w14:textId="77777777" w:rsidR="007D6334" w:rsidRPr="007D6334" w:rsidRDefault="007D6334" w:rsidP="007D6334">
      <w:pPr>
        <w:widowControl w:val="0"/>
        <w:numPr>
          <w:ilvl w:val="2"/>
          <w:numId w:val="8"/>
        </w:numPr>
        <w:tabs>
          <w:tab w:val="left" w:pos="1306"/>
        </w:tabs>
        <w:autoSpaceDE w:val="0"/>
        <w:autoSpaceDN w:val="0"/>
        <w:spacing w:before="0" w:after="0" w:line="269" w:lineRule="exact"/>
        <w:ind w:left="1306" w:hanging="354"/>
        <w:rPr>
          <w:rFonts w:ascii="Calibri" w:eastAsia="Calibri" w:hAnsi="Calibri" w:cs="Calibri"/>
          <w:sz w:val="22"/>
          <w:szCs w:val="22"/>
          <w:lang w:val="en-US"/>
        </w:rPr>
      </w:pPr>
      <w:r w:rsidRPr="007D6334">
        <w:rPr>
          <w:rFonts w:ascii="Calibri" w:eastAsia="Calibri" w:hAnsi="Calibri" w:cs="Calibri"/>
          <w:sz w:val="22"/>
          <w:szCs w:val="22"/>
          <w:lang w:val="en-US"/>
        </w:rPr>
        <w:t>Participating</w:t>
      </w:r>
      <w:r w:rsidRPr="007D6334">
        <w:rPr>
          <w:rFonts w:ascii="Calibri" w:eastAsia="Calibri" w:hAnsi="Calibri" w:cs="Calibri"/>
          <w:spacing w:val="-9"/>
          <w:sz w:val="22"/>
          <w:szCs w:val="22"/>
          <w:lang w:val="en-US"/>
        </w:rPr>
        <w:t xml:space="preserve"> </w:t>
      </w:r>
      <w:r w:rsidRPr="007D6334">
        <w:rPr>
          <w:rFonts w:ascii="Calibri" w:eastAsia="Calibri" w:hAnsi="Calibri" w:cs="Calibri"/>
          <w:sz w:val="22"/>
          <w:szCs w:val="22"/>
          <w:lang w:val="en-US"/>
        </w:rPr>
        <w:t>in</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credible</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research</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related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nonconformity</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6"/>
          <w:sz w:val="22"/>
          <w:szCs w:val="22"/>
          <w:lang w:val="en-US"/>
        </w:rPr>
        <w:t xml:space="preserve"> </w:t>
      </w:r>
      <w:r w:rsidRPr="007D6334">
        <w:rPr>
          <w:rFonts w:ascii="Calibri" w:eastAsia="Calibri" w:hAnsi="Calibri" w:cs="Calibri"/>
          <w:spacing w:val="-2"/>
          <w:sz w:val="22"/>
          <w:szCs w:val="22"/>
          <w:lang w:val="en-US"/>
        </w:rPr>
        <w:t>dysphoria</w:t>
      </w:r>
    </w:p>
    <w:p w14:paraId="3D74E978" w14:textId="0CACB2D3" w:rsidR="007D6334" w:rsidRPr="007D6334" w:rsidRDefault="007D6334" w:rsidP="007D6334">
      <w:pPr>
        <w:widowControl w:val="0"/>
        <w:numPr>
          <w:ilvl w:val="1"/>
          <w:numId w:val="8"/>
        </w:numPr>
        <w:tabs>
          <w:tab w:val="left" w:pos="820"/>
        </w:tabs>
        <w:autoSpaceDE w:val="0"/>
        <w:autoSpaceDN w:val="0"/>
        <w:spacing w:before="0" w:after="0" w:line="240" w:lineRule="auto"/>
        <w:ind w:right="203"/>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decision</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to</w:t>
      </w:r>
      <w:r w:rsidRPr="007D6334">
        <w:rPr>
          <w:rFonts w:ascii="Calibri" w:eastAsia="Calibri" w:hAnsi="Calibri" w:cs="Calibri"/>
          <w:spacing w:val="-1"/>
          <w:sz w:val="22"/>
          <w:szCs w:val="22"/>
          <w:lang w:val="en-US"/>
        </w:rPr>
        <w:t xml:space="preserve"> </w:t>
      </w:r>
      <w:r w:rsidRPr="007D6334">
        <w:rPr>
          <w:rFonts w:ascii="Calibri" w:eastAsia="Calibri" w:hAnsi="Calibri" w:cs="Calibri"/>
          <w:sz w:val="22"/>
          <w:szCs w:val="22"/>
          <w:lang w:val="en-US"/>
        </w:rPr>
        <w:t>recommend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endocrine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therapy</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should</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have</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documented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support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two</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 xml:space="preserve">gender specialists who are directly involved in the patient’s care; at least one of whom must be medically </w:t>
      </w:r>
      <w:r w:rsidRPr="007D6334">
        <w:rPr>
          <w:rFonts w:ascii="Calibri" w:eastAsia="Calibri" w:hAnsi="Calibri" w:cs="Calibri"/>
          <w:spacing w:val="-2"/>
          <w:sz w:val="22"/>
          <w:szCs w:val="22"/>
          <w:lang w:val="en-US"/>
        </w:rPr>
        <w:t>qualified</w:t>
      </w:r>
    </w:p>
    <w:p w14:paraId="492D6A06" w14:textId="77777777" w:rsidR="007D6334" w:rsidRPr="007D6334" w:rsidRDefault="007D6334" w:rsidP="007D6334">
      <w:pPr>
        <w:widowControl w:val="0"/>
        <w:numPr>
          <w:ilvl w:val="1"/>
          <w:numId w:val="8"/>
        </w:numPr>
        <w:tabs>
          <w:tab w:val="left" w:pos="820"/>
        </w:tabs>
        <w:autoSpaceDE w:val="0"/>
        <w:autoSpaceDN w:val="0"/>
        <w:spacing w:before="0" w:after="0" w:line="237" w:lineRule="auto"/>
        <w:ind w:right="105"/>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provider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an</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effective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multidisciplinary</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team</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of</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gender</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specialists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that</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meets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regularly</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(either in person or electronically)</w:t>
      </w:r>
    </w:p>
    <w:p w14:paraId="0B820AF9" w14:textId="17FB7FD1" w:rsidR="007D6334" w:rsidRPr="00374208" w:rsidRDefault="007D6334" w:rsidP="007D6334">
      <w:pPr>
        <w:widowControl w:val="0"/>
        <w:numPr>
          <w:ilvl w:val="1"/>
          <w:numId w:val="8"/>
        </w:numPr>
        <w:tabs>
          <w:tab w:val="left" w:pos="820"/>
        </w:tabs>
        <w:autoSpaceDE w:val="0"/>
        <w:autoSpaceDN w:val="0"/>
        <w:spacing w:before="0" w:after="0" w:line="240" w:lineRule="auto"/>
        <w:rPr>
          <w:rFonts w:ascii="Calibri" w:eastAsia="Calibri" w:hAnsi="Calibri" w:cs="Calibri"/>
          <w:sz w:val="22"/>
          <w:szCs w:val="22"/>
          <w:lang w:val="en-US"/>
        </w:rPr>
      </w:pP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impact</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on</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the</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individual’s</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fertility</w:t>
      </w:r>
      <w:r w:rsidRPr="007D6334">
        <w:rPr>
          <w:rFonts w:ascii="Calibri" w:eastAsia="Calibri" w:hAnsi="Calibri" w:cs="Calibri"/>
          <w:spacing w:val="-3"/>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been</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discussed</w:t>
      </w:r>
      <w:r w:rsidRPr="007D6334">
        <w:rPr>
          <w:rFonts w:ascii="Calibri" w:eastAsia="Calibri" w:hAnsi="Calibri" w:cs="Calibri"/>
          <w:spacing w:val="-4"/>
          <w:sz w:val="22"/>
          <w:szCs w:val="22"/>
          <w:lang w:val="en-US"/>
        </w:rPr>
        <w:t xml:space="preserve"> </w:t>
      </w:r>
      <w:r w:rsidRPr="007D6334">
        <w:rPr>
          <w:rFonts w:ascii="Calibri" w:eastAsia="Calibri" w:hAnsi="Calibri" w:cs="Calibri"/>
          <w:sz w:val="22"/>
          <w:szCs w:val="22"/>
          <w:lang w:val="en-US"/>
        </w:rPr>
        <w:t>with</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them</w:t>
      </w:r>
      <w:r w:rsidRPr="007D6334">
        <w:rPr>
          <w:rFonts w:ascii="Calibri" w:eastAsia="Calibri" w:hAnsi="Calibri" w:cs="Calibri"/>
          <w:spacing w:val="-2"/>
          <w:sz w:val="22"/>
          <w:szCs w:val="22"/>
          <w:lang w:val="en-US"/>
        </w:rPr>
        <w:t xml:space="preserve"> </w:t>
      </w:r>
      <w:r w:rsidRPr="007D6334">
        <w:rPr>
          <w:rFonts w:ascii="Calibri" w:eastAsia="Calibri" w:hAnsi="Calibri" w:cs="Calibri"/>
          <w:sz w:val="22"/>
          <w:szCs w:val="22"/>
          <w:lang w:val="en-US"/>
        </w:rPr>
        <w:t>and</w:t>
      </w:r>
      <w:r w:rsidRPr="007D6334">
        <w:rPr>
          <w:rFonts w:ascii="Calibri" w:eastAsia="Calibri" w:hAnsi="Calibri" w:cs="Calibri"/>
          <w:spacing w:val="-6"/>
          <w:sz w:val="22"/>
          <w:szCs w:val="22"/>
          <w:lang w:val="en-US"/>
        </w:rPr>
        <w:t xml:space="preserve"> </w:t>
      </w:r>
      <w:r w:rsidRPr="007D6334">
        <w:rPr>
          <w:rFonts w:ascii="Calibri" w:eastAsia="Calibri" w:hAnsi="Calibri" w:cs="Calibri"/>
          <w:sz w:val="22"/>
          <w:szCs w:val="22"/>
          <w:lang w:val="en-US"/>
        </w:rPr>
        <w:t>informed</w:t>
      </w:r>
      <w:r w:rsidRPr="007D6334">
        <w:rPr>
          <w:rFonts w:ascii="Calibri" w:eastAsia="Calibri" w:hAnsi="Calibri" w:cs="Calibri"/>
          <w:spacing w:val="-5"/>
          <w:sz w:val="22"/>
          <w:szCs w:val="22"/>
          <w:lang w:val="en-US"/>
        </w:rPr>
        <w:t xml:space="preserve"> </w:t>
      </w:r>
      <w:r w:rsidRPr="007D6334">
        <w:rPr>
          <w:rFonts w:ascii="Calibri" w:eastAsia="Calibri" w:hAnsi="Calibri" w:cs="Calibri"/>
          <w:sz w:val="22"/>
          <w:szCs w:val="22"/>
          <w:lang w:val="en-US"/>
        </w:rPr>
        <w:t>consent</w:t>
      </w:r>
      <w:r w:rsidRPr="007D6334">
        <w:rPr>
          <w:rFonts w:ascii="Calibri" w:eastAsia="Calibri" w:hAnsi="Calibri" w:cs="Calibri"/>
          <w:spacing w:val="-7"/>
          <w:sz w:val="22"/>
          <w:szCs w:val="22"/>
          <w:lang w:val="en-US"/>
        </w:rPr>
        <w:t xml:space="preserve"> </w:t>
      </w:r>
      <w:r w:rsidRPr="007D6334">
        <w:rPr>
          <w:rFonts w:ascii="Calibri" w:eastAsia="Calibri" w:hAnsi="Calibri" w:cs="Calibri"/>
          <w:sz w:val="22"/>
          <w:szCs w:val="22"/>
          <w:lang w:val="en-US"/>
        </w:rPr>
        <w:t>has</w:t>
      </w:r>
      <w:r w:rsidRPr="007D6334">
        <w:rPr>
          <w:rFonts w:ascii="Calibri" w:eastAsia="Calibri" w:hAnsi="Calibri" w:cs="Calibri"/>
          <w:spacing w:val="-3"/>
          <w:sz w:val="22"/>
          <w:szCs w:val="22"/>
          <w:lang w:val="en-US"/>
        </w:rPr>
        <w:t xml:space="preserve"> </w:t>
      </w:r>
      <w:r w:rsidRPr="007D6334">
        <w:rPr>
          <w:rFonts w:ascii="Calibri" w:eastAsia="Calibri" w:hAnsi="Calibri" w:cs="Calibri"/>
          <w:spacing w:val="-4"/>
          <w:sz w:val="22"/>
          <w:szCs w:val="22"/>
          <w:lang w:val="en-US"/>
        </w:rPr>
        <w:t>been</w:t>
      </w:r>
      <w:r w:rsidR="005F327A" w:rsidRPr="005F327A">
        <w:rPr>
          <w:rFonts w:ascii="Calibri" w:eastAsia="Calibri" w:hAnsi="Calibri" w:cs="Calibri"/>
          <w:spacing w:val="-4"/>
          <w:sz w:val="22"/>
          <w:szCs w:val="22"/>
          <w:lang w:val="en-US"/>
        </w:rPr>
        <w:t xml:space="preserve"> </w:t>
      </w:r>
      <w:r w:rsidRPr="007D6334">
        <w:rPr>
          <w:rFonts w:ascii="Calibri" w:eastAsia="Calibri" w:hAnsi="Calibri" w:cs="Calibri"/>
          <w:spacing w:val="-2"/>
          <w:sz w:val="22"/>
          <w:szCs w:val="22"/>
          <w:lang w:val="en-US"/>
        </w:rPr>
        <w:t>given</w:t>
      </w:r>
    </w:p>
    <w:p w14:paraId="4F22B21E" w14:textId="238E9B85" w:rsidR="00374208" w:rsidRPr="000B52EC" w:rsidRDefault="00374208" w:rsidP="00374208">
      <w:pPr>
        <w:widowControl w:val="0"/>
        <w:tabs>
          <w:tab w:val="left" w:pos="820"/>
        </w:tabs>
        <w:autoSpaceDE w:val="0"/>
        <w:autoSpaceDN w:val="0"/>
        <w:spacing w:before="0" w:after="0" w:line="240" w:lineRule="auto"/>
        <w:rPr>
          <w:rFonts w:ascii="Calibri" w:eastAsia="Calibri" w:hAnsi="Calibri" w:cs="Calibri"/>
          <w:spacing w:val="-2"/>
          <w:sz w:val="22"/>
          <w:szCs w:val="22"/>
          <w:lang w:val="en-US"/>
        </w:rPr>
      </w:pPr>
      <w:r w:rsidRPr="000B52EC">
        <w:rPr>
          <w:rFonts w:ascii="Calibri" w:eastAsia="Calibri" w:hAnsi="Calibri" w:cs="Calibri"/>
          <w:spacing w:val="-2"/>
          <w:sz w:val="22"/>
          <w:szCs w:val="22"/>
          <w:lang w:val="en-US"/>
        </w:rPr>
        <w:t>In addition, specifically for children and young people:</w:t>
      </w:r>
    </w:p>
    <w:p w14:paraId="0AEED03A" w14:textId="77777777" w:rsidR="00374208" w:rsidRPr="000B52EC" w:rsidRDefault="00374208" w:rsidP="00374208">
      <w:pPr>
        <w:pStyle w:val="ListParagraph"/>
        <w:widowControl w:val="0"/>
        <w:numPr>
          <w:ilvl w:val="0"/>
          <w:numId w:val="20"/>
        </w:numPr>
        <w:tabs>
          <w:tab w:val="left" w:pos="820"/>
        </w:tabs>
        <w:autoSpaceDE w:val="0"/>
        <w:autoSpaceDN w:val="0"/>
        <w:spacing w:before="0" w:after="0" w:line="240" w:lineRule="auto"/>
        <w:rPr>
          <w:rFonts w:ascii="Calibri" w:eastAsia="Calibri" w:hAnsi="Calibri" w:cs="Calibri"/>
          <w:sz w:val="22"/>
          <w:szCs w:val="22"/>
          <w:lang w:val="en-US"/>
        </w:rPr>
      </w:pPr>
      <w:r w:rsidRPr="000B52EC">
        <w:rPr>
          <w:rFonts w:ascii="Calibri" w:eastAsia="Calibri" w:hAnsi="Calibri" w:cs="Calibri"/>
          <w:sz w:val="22"/>
          <w:szCs w:val="22"/>
          <w:lang w:val="en-US"/>
        </w:rPr>
        <w:t>Evidence of a comprehensive documented assessment by a multi-disciplinary team that includes a medical practitioner with specialist expertise in gender incongruence in children and adolescents; and</w:t>
      </w:r>
    </w:p>
    <w:p w14:paraId="280479E4" w14:textId="06B6FE84" w:rsidR="00374208" w:rsidRPr="000B52EC" w:rsidRDefault="00374208" w:rsidP="00374208">
      <w:pPr>
        <w:pStyle w:val="ListParagraph"/>
        <w:widowControl w:val="0"/>
        <w:numPr>
          <w:ilvl w:val="0"/>
          <w:numId w:val="20"/>
        </w:numPr>
        <w:tabs>
          <w:tab w:val="left" w:pos="820"/>
        </w:tabs>
        <w:autoSpaceDE w:val="0"/>
        <w:autoSpaceDN w:val="0"/>
        <w:spacing w:before="0" w:after="0" w:line="240" w:lineRule="auto"/>
        <w:rPr>
          <w:rFonts w:ascii="Calibri" w:eastAsia="Calibri" w:hAnsi="Calibri" w:cs="Calibri"/>
          <w:sz w:val="22"/>
          <w:szCs w:val="22"/>
          <w:lang w:val="en-US"/>
        </w:rPr>
      </w:pPr>
      <w:r w:rsidRPr="000B52EC">
        <w:rPr>
          <w:rFonts w:ascii="Calibri" w:eastAsia="Calibri" w:hAnsi="Calibri" w:cs="Calibri"/>
          <w:sz w:val="22"/>
          <w:szCs w:val="22"/>
          <w:lang w:val="en-US"/>
        </w:rPr>
        <w:t xml:space="preserve">Evidence of continued psychological support through engagement with the </w:t>
      </w:r>
      <w:proofErr w:type="gramStart"/>
      <w:r w:rsidRPr="000B52EC">
        <w:rPr>
          <w:rFonts w:ascii="Calibri" w:eastAsia="Calibri" w:hAnsi="Calibri" w:cs="Calibri"/>
          <w:sz w:val="22"/>
          <w:szCs w:val="22"/>
          <w:lang w:val="en-US"/>
        </w:rPr>
        <w:t>MDT;</w:t>
      </w:r>
      <w:proofErr w:type="gramEnd"/>
    </w:p>
    <w:p w14:paraId="290EEE41" w14:textId="77777777" w:rsidR="00374208" w:rsidRDefault="00374208" w:rsidP="005F327A">
      <w:pPr>
        <w:widowControl w:val="0"/>
        <w:tabs>
          <w:tab w:val="left" w:pos="820"/>
        </w:tabs>
        <w:autoSpaceDE w:val="0"/>
        <w:autoSpaceDN w:val="0"/>
        <w:spacing w:before="0" w:after="0" w:line="240" w:lineRule="auto"/>
        <w:ind w:left="460"/>
        <w:rPr>
          <w:rFonts w:ascii="Calibri" w:eastAsia="Calibri" w:hAnsi="Calibri" w:cs="Calibri"/>
          <w:spacing w:val="-2"/>
          <w:sz w:val="22"/>
          <w:szCs w:val="22"/>
          <w:lang w:val="en-US"/>
        </w:rPr>
      </w:pPr>
    </w:p>
    <w:p w14:paraId="68E06815" w14:textId="354EBF55" w:rsidR="005F327A" w:rsidRDefault="005F327A" w:rsidP="005F327A">
      <w:pPr>
        <w:widowControl w:val="0"/>
        <w:tabs>
          <w:tab w:val="left" w:pos="820"/>
        </w:tabs>
        <w:autoSpaceDE w:val="0"/>
        <w:autoSpaceDN w:val="0"/>
        <w:spacing w:before="0" w:after="0" w:line="240" w:lineRule="auto"/>
        <w:ind w:left="460"/>
        <w:rPr>
          <w:rFonts w:ascii="Calibri" w:eastAsia="Calibri" w:hAnsi="Calibri" w:cs="Calibri"/>
          <w:spacing w:val="-2"/>
          <w:sz w:val="22"/>
          <w:szCs w:val="22"/>
          <w:lang w:val="en-US"/>
        </w:rPr>
      </w:pPr>
      <w:r>
        <w:rPr>
          <w:rFonts w:ascii="Calibri" w:eastAsia="Calibri" w:hAnsi="Calibri" w:cs="Calibri"/>
          <w:spacing w:val="-2"/>
          <w:sz w:val="22"/>
          <w:szCs w:val="22"/>
          <w:lang w:val="en-US"/>
        </w:rPr>
        <w:t>I look forward to hearing from you.</w:t>
      </w:r>
    </w:p>
    <w:p w14:paraId="442E06BB" w14:textId="67380287" w:rsidR="0069395E" w:rsidRPr="00BD5175" w:rsidRDefault="005F327A" w:rsidP="00801A33">
      <w:pPr>
        <w:widowControl w:val="0"/>
        <w:tabs>
          <w:tab w:val="left" w:pos="820"/>
          <w:tab w:val="left" w:pos="2863"/>
        </w:tabs>
        <w:autoSpaceDE w:val="0"/>
        <w:autoSpaceDN w:val="0"/>
        <w:spacing w:before="0" w:after="0" w:line="240" w:lineRule="auto"/>
        <w:ind w:left="460"/>
        <w:rPr>
          <w:rFonts w:ascii="Calibri" w:eastAsia="Calibri" w:hAnsi="Calibri" w:cs="Calibri"/>
          <w:sz w:val="22"/>
          <w:szCs w:val="22"/>
          <w:lang w:val="en-US"/>
        </w:rPr>
      </w:pPr>
      <w:r>
        <w:rPr>
          <w:rFonts w:ascii="Calibri" w:eastAsia="Calibri" w:hAnsi="Calibri" w:cs="Calibri"/>
          <w:spacing w:val="-2"/>
          <w:sz w:val="22"/>
          <w:szCs w:val="22"/>
          <w:lang w:val="en-US"/>
        </w:rPr>
        <w:t>Yours sincerely,</w:t>
      </w:r>
      <w:r w:rsidR="00801A33">
        <w:rPr>
          <w:rFonts w:ascii="Calibri" w:eastAsia="Calibri" w:hAnsi="Calibri" w:cs="Calibri"/>
          <w:spacing w:val="-2"/>
          <w:sz w:val="22"/>
          <w:szCs w:val="22"/>
          <w:lang w:val="en-US"/>
        </w:rPr>
        <w:tab/>
      </w:r>
    </w:p>
    <w:sectPr w:rsidR="0069395E" w:rsidRPr="00BD5175" w:rsidSect="003344C9">
      <w:headerReference w:type="default" r:id="rId30"/>
      <w:footerReference w:type="default" r:id="rId31"/>
      <w:headerReference w:type="first" r:id="rId32"/>
      <w:footerReference w:type="first" r:id="rId33"/>
      <w:pgSz w:w="11900" w:h="16840"/>
      <w:pgMar w:top="1418" w:right="1021" w:bottom="1366" w:left="102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37D" w14:textId="77777777" w:rsidR="005F379F" w:rsidRDefault="005F379F" w:rsidP="00785A96">
      <w:r>
        <w:separator/>
      </w:r>
    </w:p>
  </w:endnote>
  <w:endnote w:type="continuationSeparator" w:id="0">
    <w:p w14:paraId="19B43091" w14:textId="77777777" w:rsidR="005F379F" w:rsidRDefault="005F379F" w:rsidP="0078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E8786" w14:textId="025BEFA5" w:rsidR="00BD5175" w:rsidRPr="00274D9A" w:rsidRDefault="00801A33" w:rsidP="003344C9">
    <w:pPr>
      <w:pStyle w:val="Footer"/>
      <w:spacing w:before="0" w:after="0"/>
      <w:jc w:val="both"/>
      <w:rPr>
        <w:sz w:val="16"/>
        <w:szCs w:val="16"/>
      </w:rPr>
    </w:pPr>
    <w:r w:rsidRPr="00274D9A">
      <w:rPr>
        <w:sz w:val="16"/>
        <w:szCs w:val="16"/>
      </w:rPr>
      <w:t>Approved by Surrey Heartlands Area Prescribing Committee (December 2023)</w:t>
    </w:r>
    <w:r w:rsidR="00F3743F" w:rsidRPr="00274D9A">
      <w:rPr>
        <w:sz w:val="16"/>
        <w:szCs w:val="16"/>
      </w:rPr>
      <w:tab/>
    </w:r>
    <w:sdt>
      <w:sdtPr>
        <w:rPr>
          <w:sz w:val="16"/>
          <w:szCs w:val="16"/>
        </w:rPr>
        <w:id w:val="-1820337403"/>
        <w:docPartObj>
          <w:docPartGallery w:val="Page Numbers (Bottom of Page)"/>
          <w:docPartUnique/>
        </w:docPartObj>
      </w:sdtPr>
      <w:sdtEndPr>
        <w:rPr>
          <w:noProof/>
        </w:rPr>
      </w:sdtEndPr>
      <w:sdtContent>
        <w:r w:rsidR="00F3743F" w:rsidRPr="00274D9A">
          <w:rPr>
            <w:sz w:val="16"/>
            <w:szCs w:val="16"/>
          </w:rPr>
          <w:fldChar w:fldCharType="begin"/>
        </w:r>
        <w:r w:rsidR="00F3743F" w:rsidRPr="00274D9A">
          <w:rPr>
            <w:sz w:val="16"/>
            <w:szCs w:val="16"/>
          </w:rPr>
          <w:instrText xml:space="preserve"> PAGE   \* MERGEFORMAT </w:instrText>
        </w:r>
        <w:r w:rsidR="00F3743F" w:rsidRPr="00274D9A">
          <w:rPr>
            <w:sz w:val="16"/>
            <w:szCs w:val="16"/>
          </w:rPr>
          <w:fldChar w:fldCharType="separate"/>
        </w:r>
        <w:r w:rsidR="004D3D71" w:rsidRPr="00274D9A">
          <w:rPr>
            <w:noProof/>
            <w:sz w:val="16"/>
            <w:szCs w:val="16"/>
          </w:rPr>
          <w:t>7</w:t>
        </w:r>
        <w:r w:rsidR="00F3743F" w:rsidRPr="00274D9A">
          <w:rPr>
            <w:noProof/>
            <w:sz w:val="16"/>
            <w:szCs w:val="16"/>
          </w:rPr>
          <w:fldChar w:fldCharType="end"/>
        </w:r>
      </w:sdtContent>
    </w:sdt>
  </w:p>
  <w:p w14:paraId="25A3878F" w14:textId="616C875E" w:rsidR="00801A33" w:rsidRPr="00F3743F" w:rsidRDefault="00801A33" w:rsidP="00801A33">
    <w:pPr>
      <w:pStyle w:val="Footer"/>
      <w:spacing w:before="0" w:after="0"/>
      <w:rPr>
        <w:sz w:val="16"/>
        <w:szCs w:val="16"/>
      </w:rPr>
    </w:pPr>
    <w:r w:rsidRPr="00274D9A">
      <w:rPr>
        <w:sz w:val="16"/>
        <w:szCs w:val="16"/>
      </w:rPr>
      <w:t>FINAL version 1.0 (2</w:t>
    </w:r>
    <w:r w:rsidRPr="00274D9A">
      <w:rPr>
        <w:sz w:val="16"/>
        <w:szCs w:val="16"/>
        <w:vertAlign w:val="superscript"/>
      </w:rPr>
      <w:t>nd</w:t>
    </w:r>
    <w:r w:rsidRPr="00274D9A">
      <w:rPr>
        <w:sz w:val="16"/>
        <w:szCs w:val="16"/>
      </w:rPr>
      <w:t xml:space="preserve"> January 2024)</w:t>
    </w:r>
    <w:r w:rsidR="00817DBE" w:rsidRPr="00274D9A">
      <w:rPr>
        <w:sz w:val="16"/>
        <w:szCs w:val="16"/>
      </w:rPr>
      <w:t xml:space="preserve"> UPDATE version 1.</w:t>
    </w:r>
    <w:r w:rsidR="00B73060" w:rsidRPr="00274D9A">
      <w:rPr>
        <w:sz w:val="16"/>
        <w:szCs w:val="16"/>
      </w:rPr>
      <w:t>5</w:t>
    </w:r>
    <w:r w:rsidR="00817DBE" w:rsidRPr="00274D9A">
      <w:rPr>
        <w:sz w:val="16"/>
        <w:szCs w:val="16"/>
      </w:rPr>
      <w:t xml:space="preserve"> (</w:t>
    </w:r>
    <w:r w:rsidR="00B73060" w:rsidRPr="00274D9A">
      <w:rPr>
        <w:sz w:val="16"/>
        <w:szCs w:val="16"/>
      </w:rPr>
      <w:t>Jan 2025</w:t>
    </w:r>
    <w:r w:rsidR="00817DBE" w:rsidRPr="00274D9A">
      <w:rPr>
        <w:sz w:val="16"/>
        <w:szCs w:val="16"/>
      </w:rPr>
      <w:t>)</w:t>
    </w:r>
    <w:r w:rsidR="003344C9" w:rsidRPr="00274D9A">
      <w:rPr>
        <w:sz w:val="16"/>
        <w:szCs w:val="16"/>
      </w:rPr>
      <w:t xml:space="preserve"> </w:t>
    </w:r>
    <w:r w:rsidRPr="00274D9A">
      <w:rPr>
        <w:sz w:val="16"/>
        <w:szCs w:val="16"/>
      </w:rPr>
      <w:t>With thanks to NHS Frimley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62D5" w14:textId="38DC4C6C" w:rsidR="001B37AF" w:rsidRDefault="001B37AF">
    <w:pPr>
      <w:pStyle w:val="Footer"/>
    </w:pPr>
    <w:r>
      <w:rPr>
        <w:noProof/>
        <w:lang w:eastAsia="en-GB"/>
      </w:rPr>
      <w:drawing>
        <wp:anchor distT="0" distB="0" distL="114300" distR="114300" simplePos="0" relativeHeight="251662336" behindDoc="1" locked="0" layoutInCell="1" allowOverlap="1" wp14:anchorId="1F7D497B" wp14:editId="0E8ED5B5">
          <wp:simplePos x="0" y="0"/>
          <wp:positionH relativeFrom="page">
            <wp:posOffset>47708</wp:posOffset>
          </wp:positionH>
          <wp:positionV relativeFrom="page">
            <wp:posOffset>9692640</wp:posOffset>
          </wp:positionV>
          <wp:extent cx="7508791" cy="1003300"/>
          <wp:effectExtent l="0" t="0" r="0" b="6350"/>
          <wp:wrapNone/>
          <wp:docPr id="768994251" name="Picture 76899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23341" cy="100524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DBE6" w14:textId="77777777" w:rsidR="005F379F" w:rsidRDefault="005F379F" w:rsidP="00785A96">
      <w:r>
        <w:separator/>
      </w:r>
    </w:p>
  </w:footnote>
  <w:footnote w:type="continuationSeparator" w:id="0">
    <w:p w14:paraId="35A7544F" w14:textId="77777777" w:rsidR="005F379F" w:rsidRDefault="005F379F" w:rsidP="0078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59D1" w14:textId="21FDFA22" w:rsidR="00F1794E" w:rsidRDefault="00F1794E" w:rsidP="003344C9">
    <w:pPr>
      <w:pStyle w:val="Header"/>
      <w:tabs>
        <w:tab w:val="clear" w:pos="4680"/>
        <w:tab w:val="clear" w:pos="9360"/>
        <w:tab w:val="left" w:pos="3338"/>
      </w:tabs>
    </w:pPr>
    <w:r>
      <w:rPr>
        <w:noProof/>
        <w:lang w:eastAsia="en-GB"/>
      </w:rPr>
      <w:drawing>
        <wp:anchor distT="0" distB="0" distL="114300" distR="114300" simplePos="0" relativeHeight="251658240" behindDoc="1" locked="0" layoutInCell="1" allowOverlap="1" wp14:anchorId="1C11B84A" wp14:editId="29FDF085">
          <wp:simplePos x="0" y="0"/>
          <wp:positionH relativeFrom="page">
            <wp:posOffset>290945</wp:posOffset>
          </wp:positionH>
          <wp:positionV relativeFrom="page">
            <wp:posOffset>172192</wp:posOffset>
          </wp:positionV>
          <wp:extent cx="629393" cy="629393"/>
          <wp:effectExtent l="0" t="0" r="0" b="0"/>
          <wp:wrapNone/>
          <wp:docPr id="230498678" name="Picture 23049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33331" cy="633331"/>
                  </a:xfrm>
                  <a:prstGeom prst="rect">
                    <a:avLst/>
                  </a:prstGeom>
                </pic:spPr>
              </pic:pic>
            </a:graphicData>
          </a:graphic>
          <wp14:sizeRelH relativeFrom="margin">
            <wp14:pctWidth>0</wp14:pctWidth>
          </wp14:sizeRelH>
          <wp14:sizeRelV relativeFrom="margin">
            <wp14:pctHeight>0</wp14:pctHeight>
          </wp14:sizeRelV>
        </wp:anchor>
      </w:drawing>
    </w:r>
    <w:r w:rsidR="003344C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2ACE" w14:textId="77777777" w:rsidR="0069395E" w:rsidRDefault="001B37AF">
    <w:pPr>
      <w:pStyle w:val="Header"/>
    </w:pPr>
    <w:r>
      <w:rPr>
        <w:noProof/>
        <w:lang w:eastAsia="en-GB"/>
      </w:rPr>
      <w:drawing>
        <wp:anchor distT="0" distB="0" distL="114300" distR="114300" simplePos="0" relativeHeight="251660288" behindDoc="1" locked="0" layoutInCell="1" allowOverlap="1" wp14:anchorId="7333D3E4" wp14:editId="788A730B">
          <wp:simplePos x="0" y="0"/>
          <wp:positionH relativeFrom="margin">
            <wp:align>center</wp:align>
          </wp:positionH>
          <wp:positionV relativeFrom="page">
            <wp:posOffset>60927</wp:posOffset>
          </wp:positionV>
          <wp:extent cx="7100675" cy="1232548"/>
          <wp:effectExtent l="0" t="0" r="0" b="0"/>
          <wp:wrapNone/>
          <wp:docPr id="1522527731" name="Picture 1522527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100675" cy="12325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0602B"/>
    <w:multiLevelType w:val="multilevel"/>
    <w:tmpl w:val="B5307C2A"/>
    <w:styleLink w:val="CurrentList1"/>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E71350"/>
    <w:multiLevelType w:val="multilevel"/>
    <w:tmpl w:val="463E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322C1"/>
    <w:multiLevelType w:val="multilevel"/>
    <w:tmpl w:val="1E32AAF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F2FAE"/>
    <w:multiLevelType w:val="hybridMultilevel"/>
    <w:tmpl w:val="D3FE599E"/>
    <w:lvl w:ilvl="0" w:tplc="3076734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C134AF"/>
    <w:multiLevelType w:val="hybridMultilevel"/>
    <w:tmpl w:val="B0A8C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742572"/>
    <w:multiLevelType w:val="hybridMultilevel"/>
    <w:tmpl w:val="790AF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2F51F0"/>
    <w:multiLevelType w:val="hybridMultilevel"/>
    <w:tmpl w:val="097082F6"/>
    <w:lvl w:ilvl="0" w:tplc="00EE12D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3E5B02"/>
    <w:multiLevelType w:val="hybridMultilevel"/>
    <w:tmpl w:val="311080A0"/>
    <w:lvl w:ilvl="0" w:tplc="E078E884">
      <w:start w:val="1"/>
      <w:numFmt w:val="decimal"/>
      <w:lvlText w:val="%1."/>
      <w:lvlJc w:val="left"/>
      <w:pPr>
        <w:ind w:left="360" w:hanging="360"/>
      </w:pPr>
      <w:rPr>
        <w:rFonts w:ascii="Calibri" w:eastAsia="Calibri" w:hAnsi="Calibri" w:cs="Calibri" w:hint="default"/>
        <w:b w:val="0"/>
        <w:bCs w:val="0"/>
        <w:i w:val="0"/>
        <w:iCs w:val="0"/>
        <w:spacing w:val="0"/>
        <w:w w:val="100"/>
        <w:sz w:val="22"/>
        <w:szCs w:val="22"/>
        <w:lang w:val="en-US" w:eastAsia="en-US" w:bidi="ar-SA"/>
      </w:rPr>
    </w:lvl>
    <w:lvl w:ilvl="1" w:tplc="A6FEF028">
      <w:numFmt w:val="bullet"/>
      <w:lvlText w:val=""/>
      <w:lvlJc w:val="left"/>
      <w:pPr>
        <w:ind w:left="360" w:hanging="360"/>
      </w:pPr>
      <w:rPr>
        <w:rFonts w:ascii="Symbol" w:eastAsia="Symbol" w:hAnsi="Symbol" w:cs="Symbol" w:hint="default"/>
        <w:b w:val="0"/>
        <w:bCs w:val="0"/>
        <w:i w:val="0"/>
        <w:iCs w:val="0"/>
        <w:spacing w:val="0"/>
        <w:w w:val="100"/>
        <w:sz w:val="22"/>
        <w:szCs w:val="22"/>
        <w:lang w:val="en-US" w:eastAsia="en-US" w:bidi="ar-SA"/>
      </w:rPr>
    </w:lvl>
    <w:lvl w:ilvl="2" w:tplc="E318BACE">
      <w:numFmt w:val="bullet"/>
      <w:lvlText w:val="o"/>
      <w:lvlJc w:val="left"/>
      <w:pPr>
        <w:ind w:left="847" w:hanging="356"/>
      </w:pPr>
      <w:rPr>
        <w:rFonts w:ascii="Courier New" w:eastAsia="Courier New" w:hAnsi="Courier New" w:cs="Courier New" w:hint="default"/>
        <w:b w:val="0"/>
        <w:bCs w:val="0"/>
        <w:i w:val="0"/>
        <w:iCs w:val="0"/>
        <w:spacing w:val="0"/>
        <w:w w:val="100"/>
        <w:sz w:val="22"/>
        <w:szCs w:val="22"/>
        <w:lang w:val="en-US" w:eastAsia="en-US" w:bidi="ar-SA"/>
      </w:rPr>
    </w:lvl>
    <w:lvl w:ilvl="3" w:tplc="270E87C8">
      <w:numFmt w:val="bullet"/>
      <w:lvlText w:val="•"/>
      <w:lvlJc w:val="left"/>
      <w:pPr>
        <w:ind w:left="2761" w:hanging="356"/>
      </w:pPr>
      <w:rPr>
        <w:rFonts w:hint="default"/>
        <w:lang w:val="en-US" w:eastAsia="en-US" w:bidi="ar-SA"/>
      </w:rPr>
    </w:lvl>
    <w:lvl w:ilvl="4" w:tplc="703639A2">
      <w:numFmt w:val="bullet"/>
      <w:lvlText w:val="•"/>
      <w:lvlJc w:val="left"/>
      <w:pPr>
        <w:ind w:left="3722" w:hanging="356"/>
      </w:pPr>
      <w:rPr>
        <w:rFonts w:hint="default"/>
        <w:lang w:val="en-US" w:eastAsia="en-US" w:bidi="ar-SA"/>
      </w:rPr>
    </w:lvl>
    <w:lvl w:ilvl="5" w:tplc="71729DAA">
      <w:numFmt w:val="bullet"/>
      <w:lvlText w:val="•"/>
      <w:lvlJc w:val="left"/>
      <w:pPr>
        <w:ind w:left="4682" w:hanging="356"/>
      </w:pPr>
      <w:rPr>
        <w:rFonts w:hint="default"/>
        <w:lang w:val="en-US" w:eastAsia="en-US" w:bidi="ar-SA"/>
      </w:rPr>
    </w:lvl>
    <w:lvl w:ilvl="6" w:tplc="23C0DCF0">
      <w:numFmt w:val="bullet"/>
      <w:lvlText w:val="•"/>
      <w:lvlJc w:val="left"/>
      <w:pPr>
        <w:ind w:left="5643" w:hanging="356"/>
      </w:pPr>
      <w:rPr>
        <w:rFonts w:hint="default"/>
        <w:lang w:val="en-US" w:eastAsia="en-US" w:bidi="ar-SA"/>
      </w:rPr>
    </w:lvl>
    <w:lvl w:ilvl="7" w:tplc="A710AF60">
      <w:numFmt w:val="bullet"/>
      <w:lvlText w:val="•"/>
      <w:lvlJc w:val="left"/>
      <w:pPr>
        <w:ind w:left="6604" w:hanging="356"/>
      </w:pPr>
      <w:rPr>
        <w:rFonts w:hint="default"/>
        <w:lang w:val="en-US" w:eastAsia="en-US" w:bidi="ar-SA"/>
      </w:rPr>
    </w:lvl>
    <w:lvl w:ilvl="8" w:tplc="A8BA6C28">
      <w:numFmt w:val="bullet"/>
      <w:lvlText w:val="•"/>
      <w:lvlJc w:val="left"/>
      <w:pPr>
        <w:ind w:left="7564" w:hanging="356"/>
      </w:pPr>
      <w:rPr>
        <w:rFonts w:hint="default"/>
        <w:lang w:val="en-US" w:eastAsia="en-US" w:bidi="ar-SA"/>
      </w:rPr>
    </w:lvl>
  </w:abstractNum>
  <w:abstractNum w:abstractNumId="8" w15:restartNumberingAfterBreak="0">
    <w:nsid w:val="3968184D"/>
    <w:multiLevelType w:val="hybridMultilevel"/>
    <w:tmpl w:val="50BCC6CE"/>
    <w:lvl w:ilvl="0" w:tplc="A210BAC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D523E"/>
    <w:multiLevelType w:val="multilevel"/>
    <w:tmpl w:val="3DC2BC22"/>
    <w:styleLink w:val="CurrentList2"/>
    <w:lvl w:ilvl="0">
      <w:start w:val="1"/>
      <w:numFmt w:val="bullet"/>
      <w:lvlText w:val=""/>
      <w:lvlJc w:val="left"/>
      <w:pPr>
        <w:ind w:left="720" w:hanging="436"/>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6E42A1"/>
    <w:multiLevelType w:val="hybridMultilevel"/>
    <w:tmpl w:val="A2343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A75E2"/>
    <w:multiLevelType w:val="hybridMultilevel"/>
    <w:tmpl w:val="3E2C8DF6"/>
    <w:lvl w:ilvl="0" w:tplc="79D8CEDE">
      <w:start w:val="1"/>
      <w:numFmt w:val="bullet"/>
      <w:lvlText w:val=""/>
      <w:lvlJc w:val="left"/>
      <w:pPr>
        <w:ind w:left="720" w:hanging="360"/>
      </w:pPr>
      <w:rPr>
        <w:rFonts w:ascii="Wingdings" w:hAnsi="Wingdings" w:hint="default"/>
        <w:color w:val="18AFC3"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F609EB"/>
    <w:multiLevelType w:val="hybridMultilevel"/>
    <w:tmpl w:val="5E52F8B0"/>
    <w:lvl w:ilvl="0" w:tplc="0E10F374">
      <w:numFmt w:val="bullet"/>
      <w:lvlText w:val=""/>
      <w:lvlJc w:val="left"/>
      <w:pPr>
        <w:ind w:left="683" w:hanging="356"/>
      </w:pPr>
      <w:rPr>
        <w:rFonts w:ascii="Symbol" w:eastAsia="Symbol" w:hAnsi="Symbol" w:cs="Symbol" w:hint="default"/>
        <w:b w:val="0"/>
        <w:bCs w:val="0"/>
        <w:i w:val="0"/>
        <w:iCs w:val="0"/>
        <w:spacing w:val="0"/>
        <w:w w:val="100"/>
        <w:sz w:val="22"/>
        <w:szCs w:val="22"/>
        <w:lang w:val="en-US" w:eastAsia="en-US" w:bidi="ar-SA"/>
      </w:rPr>
    </w:lvl>
    <w:lvl w:ilvl="1" w:tplc="303A771C">
      <w:numFmt w:val="bullet"/>
      <w:lvlText w:val="•"/>
      <w:lvlJc w:val="left"/>
      <w:pPr>
        <w:ind w:left="1606" w:hanging="356"/>
      </w:pPr>
      <w:rPr>
        <w:rFonts w:hint="default"/>
        <w:lang w:val="en-US" w:eastAsia="en-US" w:bidi="ar-SA"/>
      </w:rPr>
    </w:lvl>
    <w:lvl w:ilvl="2" w:tplc="E4AA0BE0">
      <w:numFmt w:val="bullet"/>
      <w:lvlText w:val="•"/>
      <w:lvlJc w:val="left"/>
      <w:pPr>
        <w:ind w:left="2533" w:hanging="356"/>
      </w:pPr>
      <w:rPr>
        <w:rFonts w:hint="default"/>
        <w:lang w:val="en-US" w:eastAsia="en-US" w:bidi="ar-SA"/>
      </w:rPr>
    </w:lvl>
    <w:lvl w:ilvl="3" w:tplc="CDF0FBF6">
      <w:numFmt w:val="bullet"/>
      <w:lvlText w:val="•"/>
      <w:lvlJc w:val="left"/>
      <w:pPr>
        <w:ind w:left="3459" w:hanging="356"/>
      </w:pPr>
      <w:rPr>
        <w:rFonts w:hint="default"/>
        <w:lang w:val="en-US" w:eastAsia="en-US" w:bidi="ar-SA"/>
      </w:rPr>
    </w:lvl>
    <w:lvl w:ilvl="4" w:tplc="97A0492E">
      <w:numFmt w:val="bullet"/>
      <w:lvlText w:val="•"/>
      <w:lvlJc w:val="left"/>
      <w:pPr>
        <w:ind w:left="4386" w:hanging="356"/>
      </w:pPr>
      <w:rPr>
        <w:rFonts w:hint="default"/>
        <w:lang w:val="en-US" w:eastAsia="en-US" w:bidi="ar-SA"/>
      </w:rPr>
    </w:lvl>
    <w:lvl w:ilvl="5" w:tplc="BC3CBF9C">
      <w:numFmt w:val="bullet"/>
      <w:lvlText w:val="•"/>
      <w:lvlJc w:val="left"/>
      <w:pPr>
        <w:ind w:left="5313" w:hanging="356"/>
      </w:pPr>
      <w:rPr>
        <w:rFonts w:hint="default"/>
        <w:lang w:val="en-US" w:eastAsia="en-US" w:bidi="ar-SA"/>
      </w:rPr>
    </w:lvl>
    <w:lvl w:ilvl="6" w:tplc="77185A84">
      <w:numFmt w:val="bullet"/>
      <w:lvlText w:val="•"/>
      <w:lvlJc w:val="left"/>
      <w:pPr>
        <w:ind w:left="6239" w:hanging="356"/>
      </w:pPr>
      <w:rPr>
        <w:rFonts w:hint="default"/>
        <w:lang w:val="en-US" w:eastAsia="en-US" w:bidi="ar-SA"/>
      </w:rPr>
    </w:lvl>
    <w:lvl w:ilvl="7" w:tplc="D5000856">
      <w:numFmt w:val="bullet"/>
      <w:lvlText w:val="•"/>
      <w:lvlJc w:val="left"/>
      <w:pPr>
        <w:ind w:left="7166" w:hanging="356"/>
      </w:pPr>
      <w:rPr>
        <w:rFonts w:hint="default"/>
        <w:lang w:val="en-US" w:eastAsia="en-US" w:bidi="ar-SA"/>
      </w:rPr>
    </w:lvl>
    <w:lvl w:ilvl="8" w:tplc="4AE4736E">
      <w:numFmt w:val="bullet"/>
      <w:lvlText w:val="•"/>
      <w:lvlJc w:val="left"/>
      <w:pPr>
        <w:ind w:left="8093" w:hanging="356"/>
      </w:pPr>
      <w:rPr>
        <w:rFonts w:hint="default"/>
        <w:lang w:val="en-US" w:eastAsia="en-US" w:bidi="ar-SA"/>
      </w:rPr>
    </w:lvl>
  </w:abstractNum>
  <w:abstractNum w:abstractNumId="13" w15:restartNumberingAfterBreak="0">
    <w:nsid w:val="5AE555F2"/>
    <w:multiLevelType w:val="hybridMultilevel"/>
    <w:tmpl w:val="0284E680"/>
    <w:lvl w:ilvl="0" w:tplc="79D8CEDE">
      <w:start w:val="1"/>
      <w:numFmt w:val="bullet"/>
      <w:lvlText w:val=""/>
      <w:lvlJc w:val="left"/>
      <w:pPr>
        <w:ind w:left="720" w:hanging="360"/>
      </w:pPr>
      <w:rPr>
        <w:rFonts w:ascii="Wingdings" w:hAnsi="Wingdings" w:hint="default"/>
        <w:color w:val="18AFC3"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9F5256"/>
    <w:multiLevelType w:val="hybridMultilevel"/>
    <w:tmpl w:val="A0BCBD48"/>
    <w:lvl w:ilvl="0" w:tplc="19D699FC">
      <w:start w:val="1"/>
      <w:numFmt w:val="bullet"/>
      <w:pStyle w:val="ListParagraph"/>
      <w:lvlText w:val=""/>
      <w:lvlJc w:val="left"/>
      <w:pPr>
        <w:ind w:left="644" w:hanging="360"/>
      </w:pPr>
      <w:rPr>
        <w:rFonts w:ascii="Wingdings" w:hAnsi="Wingdings" w:hint="default"/>
        <w:color w:val="18AFC3"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D4031"/>
    <w:multiLevelType w:val="hybridMultilevel"/>
    <w:tmpl w:val="A788A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8E0423"/>
    <w:multiLevelType w:val="multilevel"/>
    <w:tmpl w:val="824AE260"/>
    <w:styleLink w:val="CurrentList3"/>
    <w:lvl w:ilvl="0">
      <w:start w:val="1"/>
      <w:numFmt w:val="bullet"/>
      <w:lvlText w:val=""/>
      <w:lvlJc w:val="left"/>
      <w:pPr>
        <w:ind w:left="720" w:hanging="436"/>
      </w:pPr>
      <w:rPr>
        <w:rFonts w:ascii="Symbol" w:hAnsi="Symbol" w:hint="default"/>
        <w:color w:val="18AFC3"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99E2BD5"/>
    <w:multiLevelType w:val="hybridMultilevel"/>
    <w:tmpl w:val="635AD36E"/>
    <w:lvl w:ilvl="0" w:tplc="A210BAC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F45C5"/>
    <w:multiLevelType w:val="hybridMultilevel"/>
    <w:tmpl w:val="A188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6B1C71"/>
    <w:multiLevelType w:val="hybridMultilevel"/>
    <w:tmpl w:val="6D141798"/>
    <w:lvl w:ilvl="0" w:tplc="6D14093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169051">
    <w:abstractNumId w:val="5"/>
  </w:num>
  <w:num w:numId="2" w16cid:durableId="212079815">
    <w:abstractNumId w:val="14"/>
  </w:num>
  <w:num w:numId="3" w16cid:durableId="637342758">
    <w:abstractNumId w:val="14"/>
    <w:lvlOverride w:ilvl="0">
      <w:startOverride w:val="1"/>
    </w:lvlOverride>
  </w:num>
  <w:num w:numId="4" w16cid:durableId="1156190737">
    <w:abstractNumId w:val="0"/>
  </w:num>
  <w:num w:numId="5" w16cid:durableId="623384976">
    <w:abstractNumId w:val="9"/>
  </w:num>
  <w:num w:numId="6" w16cid:durableId="527330948">
    <w:abstractNumId w:val="16"/>
  </w:num>
  <w:num w:numId="7" w16cid:durableId="345056541">
    <w:abstractNumId w:val="12"/>
  </w:num>
  <w:num w:numId="8" w16cid:durableId="417481380">
    <w:abstractNumId w:val="7"/>
  </w:num>
  <w:num w:numId="9" w16cid:durableId="280691534">
    <w:abstractNumId w:val="6"/>
  </w:num>
  <w:num w:numId="10" w16cid:durableId="1418483802">
    <w:abstractNumId w:val="13"/>
  </w:num>
  <w:num w:numId="11" w16cid:durableId="1074351794">
    <w:abstractNumId w:val="8"/>
  </w:num>
  <w:num w:numId="12" w16cid:durableId="708267431">
    <w:abstractNumId w:val="3"/>
  </w:num>
  <w:num w:numId="13" w16cid:durableId="617375064">
    <w:abstractNumId w:val="11"/>
  </w:num>
  <w:num w:numId="14" w16cid:durableId="967856110">
    <w:abstractNumId w:val="17"/>
  </w:num>
  <w:num w:numId="15" w16cid:durableId="626467046">
    <w:abstractNumId w:val="15"/>
  </w:num>
  <w:num w:numId="16" w16cid:durableId="412242852">
    <w:abstractNumId w:val="1"/>
  </w:num>
  <w:num w:numId="17" w16cid:durableId="1843469399">
    <w:abstractNumId w:val="2"/>
  </w:num>
  <w:num w:numId="18" w16cid:durableId="1461415504">
    <w:abstractNumId w:val="10"/>
  </w:num>
  <w:num w:numId="19" w16cid:durableId="233053456">
    <w:abstractNumId w:val="4"/>
  </w:num>
  <w:num w:numId="20" w16cid:durableId="124588969">
    <w:abstractNumId w:val="18"/>
  </w:num>
  <w:num w:numId="21" w16cid:durableId="19506216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FC"/>
    <w:rsid w:val="0000369A"/>
    <w:rsid w:val="0000476A"/>
    <w:rsid w:val="00011814"/>
    <w:rsid w:val="00035F1F"/>
    <w:rsid w:val="000474E9"/>
    <w:rsid w:val="00064322"/>
    <w:rsid w:val="00090A5E"/>
    <w:rsid w:val="000B52EC"/>
    <w:rsid w:val="000F622D"/>
    <w:rsid w:val="001345EF"/>
    <w:rsid w:val="00141D7A"/>
    <w:rsid w:val="00143887"/>
    <w:rsid w:val="00172E22"/>
    <w:rsid w:val="00193D80"/>
    <w:rsid w:val="001B14C6"/>
    <w:rsid w:val="001B37AF"/>
    <w:rsid w:val="001C4606"/>
    <w:rsid w:val="001D6ECB"/>
    <w:rsid w:val="001E58C3"/>
    <w:rsid w:val="001F28AE"/>
    <w:rsid w:val="002164AE"/>
    <w:rsid w:val="00244E6A"/>
    <w:rsid w:val="00252A25"/>
    <w:rsid w:val="0026386B"/>
    <w:rsid w:val="00274D9A"/>
    <w:rsid w:val="0027677D"/>
    <w:rsid w:val="002778ED"/>
    <w:rsid w:val="00293825"/>
    <w:rsid w:val="002A3035"/>
    <w:rsid w:val="002B16AD"/>
    <w:rsid w:val="002C3D42"/>
    <w:rsid w:val="002F77F6"/>
    <w:rsid w:val="0032186B"/>
    <w:rsid w:val="00331915"/>
    <w:rsid w:val="00331E53"/>
    <w:rsid w:val="003344C9"/>
    <w:rsid w:val="00340D81"/>
    <w:rsid w:val="00357CAF"/>
    <w:rsid w:val="00374208"/>
    <w:rsid w:val="003767A2"/>
    <w:rsid w:val="003C2C27"/>
    <w:rsid w:val="003C2F4A"/>
    <w:rsid w:val="003D137B"/>
    <w:rsid w:val="00402760"/>
    <w:rsid w:val="00430FCE"/>
    <w:rsid w:val="00432E3A"/>
    <w:rsid w:val="0045737D"/>
    <w:rsid w:val="0047694B"/>
    <w:rsid w:val="004B26E5"/>
    <w:rsid w:val="004B442D"/>
    <w:rsid w:val="004B748B"/>
    <w:rsid w:val="004D3D71"/>
    <w:rsid w:val="004E3315"/>
    <w:rsid w:val="00513334"/>
    <w:rsid w:val="00513C94"/>
    <w:rsid w:val="00520CA8"/>
    <w:rsid w:val="00545402"/>
    <w:rsid w:val="00565894"/>
    <w:rsid w:val="005944EB"/>
    <w:rsid w:val="005B5BBE"/>
    <w:rsid w:val="005F0B93"/>
    <w:rsid w:val="005F327A"/>
    <w:rsid w:val="005F379F"/>
    <w:rsid w:val="00603B99"/>
    <w:rsid w:val="006433BB"/>
    <w:rsid w:val="00645B45"/>
    <w:rsid w:val="0067349C"/>
    <w:rsid w:val="006858C1"/>
    <w:rsid w:val="006938E4"/>
    <w:rsid w:val="0069395E"/>
    <w:rsid w:val="006A7229"/>
    <w:rsid w:val="006B2258"/>
    <w:rsid w:val="006C7BDC"/>
    <w:rsid w:val="006D16A6"/>
    <w:rsid w:val="006E6208"/>
    <w:rsid w:val="00700AE0"/>
    <w:rsid w:val="00785A96"/>
    <w:rsid w:val="00793A7B"/>
    <w:rsid w:val="007D6334"/>
    <w:rsid w:val="00801A33"/>
    <w:rsid w:val="00817DBE"/>
    <w:rsid w:val="00862A84"/>
    <w:rsid w:val="00870B8D"/>
    <w:rsid w:val="008845E0"/>
    <w:rsid w:val="0088464B"/>
    <w:rsid w:val="00886355"/>
    <w:rsid w:val="0089087C"/>
    <w:rsid w:val="008C77B1"/>
    <w:rsid w:val="008D7B39"/>
    <w:rsid w:val="00902701"/>
    <w:rsid w:val="00915EFC"/>
    <w:rsid w:val="009444DF"/>
    <w:rsid w:val="009508B0"/>
    <w:rsid w:val="009A0BF8"/>
    <w:rsid w:val="009B1CB1"/>
    <w:rsid w:val="009E3E38"/>
    <w:rsid w:val="00A05748"/>
    <w:rsid w:val="00A47C6C"/>
    <w:rsid w:val="00A51954"/>
    <w:rsid w:val="00A72DC4"/>
    <w:rsid w:val="00AB6151"/>
    <w:rsid w:val="00B11ECB"/>
    <w:rsid w:val="00B429F5"/>
    <w:rsid w:val="00B45C5B"/>
    <w:rsid w:val="00B723F9"/>
    <w:rsid w:val="00B73060"/>
    <w:rsid w:val="00B756A4"/>
    <w:rsid w:val="00B924F1"/>
    <w:rsid w:val="00BA242F"/>
    <w:rsid w:val="00BA7533"/>
    <w:rsid w:val="00BB1D7A"/>
    <w:rsid w:val="00BD5175"/>
    <w:rsid w:val="00C00FC1"/>
    <w:rsid w:val="00C21447"/>
    <w:rsid w:val="00C3601D"/>
    <w:rsid w:val="00C60432"/>
    <w:rsid w:val="00C8014C"/>
    <w:rsid w:val="00C8767F"/>
    <w:rsid w:val="00C93170"/>
    <w:rsid w:val="00C94EF1"/>
    <w:rsid w:val="00D14A19"/>
    <w:rsid w:val="00D26F08"/>
    <w:rsid w:val="00D56B45"/>
    <w:rsid w:val="00D75FAE"/>
    <w:rsid w:val="00DB1923"/>
    <w:rsid w:val="00DB4323"/>
    <w:rsid w:val="00DB65F4"/>
    <w:rsid w:val="00DB7930"/>
    <w:rsid w:val="00DE53F8"/>
    <w:rsid w:val="00E07E8A"/>
    <w:rsid w:val="00E14F19"/>
    <w:rsid w:val="00E4617C"/>
    <w:rsid w:val="00EA30D6"/>
    <w:rsid w:val="00EB2DA6"/>
    <w:rsid w:val="00EF3847"/>
    <w:rsid w:val="00F11B07"/>
    <w:rsid w:val="00F1794E"/>
    <w:rsid w:val="00F34487"/>
    <w:rsid w:val="00F3743F"/>
    <w:rsid w:val="00F45983"/>
    <w:rsid w:val="00F561F4"/>
    <w:rsid w:val="00F60902"/>
    <w:rsid w:val="00F724AB"/>
    <w:rsid w:val="00F833B6"/>
    <w:rsid w:val="00F86049"/>
    <w:rsid w:val="00F91948"/>
    <w:rsid w:val="00FD0D27"/>
    <w:rsid w:val="00FF6173"/>
    <w:rsid w:val="54BBAE80"/>
    <w:rsid w:val="5D68A7B0"/>
    <w:rsid w:val="5E443E65"/>
    <w:rsid w:val="75A4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D82F632"/>
  <w15:chartTrackingRefBased/>
  <w15:docId w15:val="{144D910B-3D9B-474E-8897-E72DBE62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85A96"/>
    <w:pPr>
      <w:spacing w:before="240" w:after="360" w:line="320" w:lineRule="exact"/>
    </w:pPr>
    <w:rPr>
      <w:rFonts w:ascii="Arial" w:hAnsi="Arial" w:cs="Arial"/>
    </w:rPr>
  </w:style>
  <w:style w:type="paragraph" w:styleId="Heading1">
    <w:name w:val="heading 1"/>
    <w:basedOn w:val="Normal"/>
    <w:next w:val="Normal"/>
    <w:link w:val="Heading1Char"/>
    <w:uiPriority w:val="9"/>
    <w:qFormat/>
    <w:rsid w:val="0069395E"/>
    <w:pPr>
      <w:keepNext/>
      <w:keepLines/>
      <w:spacing w:before="360" w:after="240" w:line="400" w:lineRule="exact"/>
      <w:outlineLvl w:val="0"/>
    </w:pPr>
    <w:rPr>
      <w:rFonts w:eastAsiaTheme="majorEastAsia"/>
      <w:b/>
      <w:color w:val="103E66" w:themeColor="accent1"/>
      <w:sz w:val="44"/>
      <w:szCs w:val="32"/>
    </w:rPr>
  </w:style>
  <w:style w:type="paragraph" w:styleId="Heading2">
    <w:name w:val="heading 2"/>
    <w:basedOn w:val="Normal"/>
    <w:next w:val="Normal"/>
    <w:link w:val="Heading2Char"/>
    <w:uiPriority w:val="9"/>
    <w:unhideWhenUsed/>
    <w:qFormat/>
    <w:rsid w:val="00A51954"/>
    <w:pPr>
      <w:keepNext/>
      <w:keepLines/>
      <w:spacing w:after="0"/>
      <w:outlineLvl w:val="1"/>
    </w:pPr>
    <w:rPr>
      <w:rFonts w:eastAsiaTheme="majorEastAsia"/>
      <w:b/>
      <w:bCs/>
      <w:color w:val="18AFC3" w:themeColor="accen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94E"/>
    <w:pPr>
      <w:tabs>
        <w:tab w:val="center" w:pos="4680"/>
        <w:tab w:val="right" w:pos="9360"/>
      </w:tabs>
    </w:pPr>
  </w:style>
  <w:style w:type="character" w:customStyle="1" w:styleId="HeaderChar">
    <w:name w:val="Header Char"/>
    <w:basedOn w:val="DefaultParagraphFont"/>
    <w:link w:val="Header"/>
    <w:uiPriority w:val="99"/>
    <w:rsid w:val="00F1794E"/>
  </w:style>
  <w:style w:type="paragraph" w:styleId="Footer">
    <w:name w:val="footer"/>
    <w:basedOn w:val="Normal"/>
    <w:link w:val="FooterChar"/>
    <w:uiPriority w:val="99"/>
    <w:unhideWhenUsed/>
    <w:rsid w:val="00F1794E"/>
    <w:pPr>
      <w:tabs>
        <w:tab w:val="center" w:pos="4680"/>
        <w:tab w:val="right" w:pos="9360"/>
      </w:tabs>
    </w:pPr>
  </w:style>
  <w:style w:type="character" w:customStyle="1" w:styleId="FooterChar">
    <w:name w:val="Footer Char"/>
    <w:basedOn w:val="DefaultParagraphFont"/>
    <w:link w:val="Footer"/>
    <w:uiPriority w:val="99"/>
    <w:rsid w:val="00F1794E"/>
  </w:style>
  <w:style w:type="character" w:customStyle="1" w:styleId="Heading1Char">
    <w:name w:val="Heading 1 Char"/>
    <w:basedOn w:val="DefaultParagraphFont"/>
    <w:link w:val="Heading1"/>
    <w:uiPriority w:val="9"/>
    <w:rsid w:val="0069395E"/>
    <w:rPr>
      <w:rFonts w:ascii="Arial" w:eastAsiaTheme="majorEastAsia" w:hAnsi="Arial" w:cs="Arial"/>
      <w:b/>
      <w:color w:val="103E66" w:themeColor="accent1"/>
      <w:sz w:val="44"/>
      <w:szCs w:val="32"/>
    </w:rPr>
  </w:style>
  <w:style w:type="paragraph" w:customStyle="1" w:styleId="BasicParagraph">
    <w:name w:val="[Basic Paragraph]"/>
    <w:basedOn w:val="Normal"/>
    <w:uiPriority w:val="99"/>
    <w:rsid w:val="00331915"/>
    <w:pPr>
      <w:autoSpaceDE w:val="0"/>
      <w:autoSpaceDN w:val="0"/>
      <w:adjustRightInd w:val="0"/>
      <w:spacing w:line="288" w:lineRule="auto"/>
      <w:textAlignment w:val="center"/>
    </w:pPr>
    <w:rPr>
      <w:rFonts w:ascii="Minion Pro" w:hAnsi="Minion Pro" w:cs="Minion Pro"/>
      <w:color w:val="000000"/>
    </w:rPr>
  </w:style>
  <w:style w:type="paragraph" w:styleId="NoSpacing">
    <w:name w:val="No Spacing"/>
    <w:uiPriority w:val="1"/>
    <w:rsid w:val="00331915"/>
  </w:style>
  <w:style w:type="character" w:customStyle="1" w:styleId="Heading2Char">
    <w:name w:val="Heading 2 Char"/>
    <w:basedOn w:val="DefaultParagraphFont"/>
    <w:link w:val="Heading2"/>
    <w:uiPriority w:val="9"/>
    <w:rsid w:val="00A51954"/>
    <w:rPr>
      <w:rFonts w:ascii="Arial" w:eastAsiaTheme="majorEastAsia" w:hAnsi="Arial" w:cs="Arial"/>
      <w:b/>
      <w:bCs/>
      <w:color w:val="18AFC3" w:themeColor="accent2"/>
      <w:sz w:val="32"/>
      <w:szCs w:val="32"/>
    </w:rPr>
  </w:style>
  <w:style w:type="paragraph" w:styleId="ListParagraph">
    <w:name w:val="List Paragraph"/>
    <w:basedOn w:val="Normal"/>
    <w:uiPriority w:val="1"/>
    <w:qFormat/>
    <w:rsid w:val="00432E3A"/>
    <w:pPr>
      <w:numPr>
        <w:numId w:val="2"/>
      </w:numPr>
      <w:contextualSpacing/>
    </w:pPr>
  </w:style>
  <w:style w:type="numbering" w:customStyle="1" w:styleId="CurrentList1">
    <w:name w:val="Current List1"/>
    <w:uiPriority w:val="99"/>
    <w:rsid w:val="004E3315"/>
    <w:pPr>
      <w:numPr>
        <w:numId w:val="4"/>
      </w:numPr>
    </w:pPr>
  </w:style>
  <w:style w:type="numbering" w:customStyle="1" w:styleId="CurrentList2">
    <w:name w:val="Current List2"/>
    <w:uiPriority w:val="99"/>
    <w:rsid w:val="009508B0"/>
    <w:pPr>
      <w:numPr>
        <w:numId w:val="5"/>
      </w:numPr>
    </w:pPr>
  </w:style>
  <w:style w:type="paragraph" w:customStyle="1" w:styleId="CoverPageTitle">
    <w:name w:val="Cover Page Title"/>
    <w:basedOn w:val="Heading2"/>
    <w:qFormat/>
    <w:rsid w:val="00645B45"/>
    <w:pPr>
      <w:spacing w:before="0" w:line="720" w:lineRule="exact"/>
    </w:pPr>
    <w:rPr>
      <w:caps/>
      <w:color w:val="103E66" w:themeColor="accent1"/>
      <w:sz w:val="72"/>
    </w:rPr>
  </w:style>
  <w:style w:type="paragraph" w:customStyle="1" w:styleId="DateSubhead">
    <w:name w:val="Date Subhead"/>
    <w:basedOn w:val="Heading2"/>
    <w:qFormat/>
    <w:rsid w:val="00645B45"/>
    <w:pPr>
      <w:spacing w:before="0" w:line="480" w:lineRule="exact"/>
    </w:pPr>
    <w:rPr>
      <w:sz w:val="40"/>
    </w:rPr>
  </w:style>
  <w:style w:type="numbering" w:customStyle="1" w:styleId="CurrentList3">
    <w:name w:val="Current List3"/>
    <w:uiPriority w:val="99"/>
    <w:rsid w:val="00432E3A"/>
    <w:pPr>
      <w:numPr>
        <w:numId w:val="6"/>
      </w:numPr>
    </w:pPr>
  </w:style>
  <w:style w:type="character" w:styleId="Hyperlink">
    <w:name w:val="Hyperlink"/>
    <w:basedOn w:val="DefaultParagraphFont"/>
    <w:uiPriority w:val="99"/>
    <w:unhideWhenUsed/>
    <w:rsid w:val="00915EFC"/>
    <w:rPr>
      <w:color w:val="E84186" w:themeColor="hyperlink"/>
      <w:u w:val="single"/>
    </w:rPr>
  </w:style>
  <w:style w:type="character" w:customStyle="1" w:styleId="UnresolvedMention1">
    <w:name w:val="Unresolved Mention1"/>
    <w:basedOn w:val="DefaultParagraphFont"/>
    <w:uiPriority w:val="99"/>
    <w:semiHidden/>
    <w:unhideWhenUsed/>
    <w:rsid w:val="00915EFC"/>
    <w:rPr>
      <w:color w:val="605E5C"/>
      <w:shd w:val="clear" w:color="auto" w:fill="E1DFDD"/>
    </w:rPr>
  </w:style>
  <w:style w:type="paragraph" w:styleId="BodyText">
    <w:name w:val="Body Text"/>
    <w:basedOn w:val="Normal"/>
    <w:link w:val="BodyTextChar"/>
    <w:uiPriority w:val="1"/>
    <w:qFormat/>
    <w:rsid w:val="00915EFC"/>
    <w:pPr>
      <w:widowControl w:val="0"/>
      <w:autoSpaceDE w:val="0"/>
      <w:autoSpaceDN w:val="0"/>
      <w:spacing w:before="0" w:after="0" w:line="240"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915EFC"/>
    <w:rPr>
      <w:rFonts w:ascii="Calibri" w:eastAsia="Calibri" w:hAnsi="Calibri" w:cs="Calibri"/>
      <w:sz w:val="22"/>
      <w:szCs w:val="22"/>
      <w:lang w:val="en-US"/>
    </w:rPr>
  </w:style>
  <w:style w:type="character" w:styleId="FollowedHyperlink">
    <w:name w:val="FollowedHyperlink"/>
    <w:basedOn w:val="DefaultParagraphFont"/>
    <w:uiPriority w:val="99"/>
    <w:semiHidden/>
    <w:unhideWhenUsed/>
    <w:rsid w:val="00331E53"/>
    <w:rPr>
      <w:color w:val="92408E" w:themeColor="followedHyperlink"/>
      <w:u w:val="single"/>
    </w:rPr>
  </w:style>
  <w:style w:type="character" w:styleId="CommentReference">
    <w:name w:val="annotation reference"/>
    <w:basedOn w:val="DefaultParagraphFont"/>
    <w:uiPriority w:val="99"/>
    <w:semiHidden/>
    <w:unhideWhenUsed/>
    <w:rsid w:val="00B756A4"/>
    <w:rPr>
      <w:sz w:val="16"/>
      <w:szCs w:val="16"/>
    </w:rPr>
  </w:style>
  <w:style w:type="paragraph" w:styleId="CommentText">
    <w:name w:val="annotation text"/>
    <w:basedOn w:val="Normal"/>
    <w:link w:val="CommentTextChar"/>
    <w:uiPriority w:val="99"/>
    <w:unhideWhenUsed/>
    <w:rsid w:val="00B756A4"/>
    <w:pPr>
      <w:spacing w:line="240" w:lineRule="auto"/>
    </w:pPr>
    <w:rPr>
      <w:sz w:val="20"/>
      <w:szCs w:val="20"/>
    </w:rPr>
  </w:style>
  <w:style w:type="character" w:customStyle="1" w:styleId="CommentTextChar">
    <w:name w:val="Comment Text Char"/>
    <w:basedOn w:val="DefaultParagraphFont"/>
    <w:link w:val="CommentText"/>
    <w:uiPriority w:val="99"/>
    <w:rsid w:val="00B756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756A4"/>
    <w:rPr>
      <w:b/>
      <w:bCs/>
    </w:rPr>
  </w:style>
  <w:style w:type="character" w:customStyle="1" w:styleId="CommentSubjectChar">
    <w:name w:val="Comment Subject Char"/>
    <w:basedOn w:val="CommentTextChar"/>
    <w:link w:val="CommentSubject"/>
    <w:uiPriority w:val="99"/>
    <w:semiHidden/>
    <w:rsid w:val="00B756A4"/>
    <w:rPr>
      <w:rFonts w:ascii="Arial" w:hAnsi="Arial" w:cs="Arial"/>
      <w:b/>
      <w:bCs/>
      <w:sz w:val="20"/>
      <w:szCs w:val="20"/>
    </w:rPr>
  </w:style>
  <w:style w:type="paragraph" w:styleId="BalloonText">
    <w:name w:val="Balloon Text"/>
    <w:basedOn w:val="Normal"/>
    <w:link w:val="BalloonTextChar"/>
    <w:uiPriority w:val="99"/>
    <w:semiHidden/>
    <w:unhideWhenUsed/>
    <w:rsid w:val="004D3D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71"/>
    <w:rPr>
      <w:rFonts w:ascii="Segoe UI" w:hAnsi="Segoe UI" w:cs="Segoe UI"/>
      <w:sz w:val="18"/>
      <w:szCs w:val="18"/>
    </w:rPr>
  </w:style>
  <w:style w:type="character" w:styleId="UnresolvedMention">
    <w:name w:val="Unresolved Mention"/>
    <w:basedOn w:val="DefaultParagraphFont"/>
    <w:uiPriority w:val="99"/>
    <w:semiHidden/>
    <w:unhideWhenUsed/>
    <w:rsid w:val="00357CAF"/>
    <w:rPr>
      <w:color w:val="605E5C"/>
      <w:shd w:val="clear" w:color="auto" w:fill="E1DFDD"/>
    </w:rPr>
  </w:style>
  <w:style w:type="table" w:styleId="TableGrid">
    <w:name w:val="Table Grid"/>
    <w:basedOn w:val="TableNormal"/>
    <w:uiPriority w:val="39"/>
    <w:rsid w:val="00565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tw.nhs.uk/services/northern-region-gender-dysphoria-service-specialist-service-walkergate-park/information-for-professionals/" TargetMode="External"/><Relationship Id="rId18" Type="http://schemas.openxmlformats.org/officeDocument/2006/relationships/hyperlink" Target="https://gic.nhs.uk/gp-support/shared-care-protocols/" TargetMode="External"/><Relationship Id="rId26" Type="http://schemas.openxmlformats.org/officeDocument/2006/relationships/hyperlink" Target="https://www.dpt.nhs.uk/download/Ote2T8sczT" TargetMode="External"/><Relationship Id="rId3" Type="http://schemas.openxmlformats.org/officeDocument/2006/relationships/settings" Target="settings.xml"/><Relationship Id="rId21" Type="http://schemas.openxmlformats.org/officeDocument/2006/relationships/hyperlink" Target="https://www.gmc-uk.org/ethical-guidance/ethical-hub/trans-healthcare"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leedsandyorkpft.nhs.uk/our-services/gender-identity-service/" TargetMode="External"/><Relationship Id="rId17" Type="http://schemas.openxmlformats.org/officeDocument/2006/relationships/hyperlink" Target="https://www.nhs.uk/conditions/gender-dysphoria/treatment/" TargetMode="External"/><Relationship Id="rId25" Type="http://schemas.openxmlformats.org/officeDocument/2006/relationships/hyperlink" Target="https://www.england.nhs.uk/publication/clinical-commissioning-policy-prescribing-of-gender-affirming-hormone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dpt.nhs.uk/our-services/gender-identity/for-gps-and-professionals" TargetMode="External"/><Relationship Id="rId20" Type="http://schemas.openxmlformats.org/officeDocument/2006/relationships/hyperlink" Target="https://www.bma.org.uk/advice-and-support/gp-practices/gp-service-provision/managing-patients-with-gender-dysphoria" TargetMode="External"/><Relationship Id="rId29" Type="http://schemas.openxmlformats.org/officeDocument/2006/relationships/hyperlink" Target="https://gic.nhs.uk/gp-support/shared-care-protoc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sc.nhs.uk/services/gender-identity-clinic/information-gps" TargetMode="External"/><Relationship Id="rId24" Type="http://schemas.openxmlformats.org/officeDocument/2006/relationships/hyperlink" Target="https://surreyccg.res-systems.net/PAD/Guidelines/Detail/7721"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ncth.nhs.uk/treatments-offered" TargetMode="External"/><Relationship Id="rId23" Type="http://schemas.openxmlformats.org/officeDocument/2006/relationships/hyperlink" Target="https://www.england.nhs.uk/publication/clinical-policy-puberty-suppressing-hormones/" TargetMode="External"/><Relationship Id="rId28" Type="http://schemas.openxmlformats.org/officeDocument/2006/relationships/hyperlink" Target="https://www.england.nhs.uk/publication/service-specification-gender-identity-services-for-adults-non-surgical-interventions/" TargetMode="External"/><Relationship Id="rId10" Type="http://schemas.openxmlformats.org/officeDocument/2006/relationships/hyperlink" Target="https://www.gosh.nhs.uk/wards-and-departments/departments/clinical-specialties/the-nhs-children-and-young-peoples-gender-service-london/" TargetMode="External"/><Relationship Id="rId19" Type="http://schemas.openxmlformats.org/officeDocument/2006/relationships/hyperlink" Target="https://www.england.nhs.uk/publication/interim-service-specification-for-specialist-gender-incongruence-services-for-children-and-young-peopl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sh.nhs.uk/wards-and-departments/departments/clinical-specialties/the-nhs-children-and-young-peoples-gender-service-london/" TargetMode="External"/><Relationship Id="rId14" Type="http://schemas.openxmlformats.org/officeDocument/2006/relationships/hyperlink" Target="https://www.nhft.nhs.uk/gic/" TargetMode="External"/><Relationship Id="rId22" Type="http://schemas.openxmlformats.org/officeDocument/2006/relationships/hyperlink" Target="https://cass.independent-review.uk/home/publications/final-report/" TargetMode="External"/><Relationship Id="rId27" Type="http://schemas.openxmlformats.org/officeDocument/2006/relationships/hyperlink" Target="https://www.gmc-uk.org/-/media/documents/prescribing-guidance-updated-english-20210405_pdf-85260533.pdf"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Watkin.SHEARTLANDS\Downloads\Surrey_Heartlands_A4_Document_Template_rev_Jul_2022%20(2).dotx" TargetMode="External"/></Relationships>
</file>

<file path=word/theme/theme1.xml><?xml version="1.0" encoding="utf-8"?>
<a:theme xmlns:a="http://schemas.openxmlformats.org/drawingml/2006/main" name="Office Theme">
  <a:themeElements>
    <a:clrScheme name="SH Brand Colours 2022">
      <a:dk1>
        <a:srgbClr val="000000"/>
      </a:dk1>
      <a:lt1>
        <a:srgbClr val="FFFFFF"/>
      </a:lt1>
      <a:dk2>
        <a:srgbClr val="44546A"/>
      </a:dk2>
      <a:lt2>
        <a:srgbClr val="E7E6E6"/>
      </a:lt2>
      <a:accent1>
        <a:srgbClr val="103E66"/>
      </a:accent1>
      <a:accent2>
        <a:srgbClr val="18AFC3"/>
      </a:accent2>
      <a:accent3>
        <a:srgbClr val="E84186"/>
      </a:accent3>
      <a:accent4>
        <a:srgbClr val="CECFDC"/>
      </a:accent4>
      <a:accent5>
        <a:srgbClr val="E1F0F3"/>
      </a:accent5>
      <a:accent6>
        <a:srgbClr val="FBE2EB"/>
      </a:accent6>
      <a:hlink>
        <a:srgbClr val="E84186"/>
      </a:hlink>
      <a:folHlink>
        <a:srgbClr val="92408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Surrey_Heartlands_A4_Document_Template_rev_Jul_2022 (2).dotx</Template>
  <TotalTime>2</TotalTime>
  <Pages>8</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 Sarah (NHS Surrey Heartlands CCG)</dc:creator>
  <cp:keywords/>
  <dc:description/>
  <cp:lastModifiedBy>JOHNS, Clare (NHS SURREY HEARTLANDS ICB - 92A)</cp:lastModifiedBy>
  <cp:revision>3</cp:revision>
  <dcterms:created xsi:type="dcterms:W3CDTF">2025-01-02T16:29:00Z</dcterms:created>
  <dcterms:modified xsi:type="dcterms:W3CDTF">2025-01-24T09:39:00Z</dcterms:modified>
</cp:coreProperties>
</file>